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557A1" w:rsidRPr="00C557A1" w14:paraId="10F8716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3C7D1F1" w14:textId="77777777" w:rsidR="002946C7" w:rsidRPr="00C557A1" w:rsidRDefault="002946C7">
            <w:pPr>
              <w:pStyle w:val="ECVPersonalInfoHeading"/>
              <w:rPr>
                <w:color w:val="auto"/>
              </w:rPr>
            </w:pPr>
            <w:r w:rsidRPr="00C557A1">
              <w:rPr>
                <w:caps w:val="0"/>
                <w:color w:val="auto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3CE0091" w14:textId="77777777" w:rsidR="002946C7" w:rsidRPr="00C557A1" w:rsidRDefault="005169DF">
            <w:pPr>
              <w:pStyle w:val="ECVNameField"/>
              <w:rPr>
                <w:color w:val="auto"/>
              </w:rPr>
            </w:pPr>
            <w:r w:rsidRPr="00C557A1">
              <w:rPr>
                <w:color w:val="auto"/>
                <w:lang w:val="ro-RO"/>
              </w:rPr>
              <w:t>Laurențiu</w:t>
            </w:r>
            <w:r w:rsidR="00A157F3" w:rsidRPr="00C557A1">
              <w:rPr>
                <w:color w:val="auto"/>
                <w:lang w:val="ro-RO"/>
              </w:rPr>
              <w:t xml:space="preserve"> Florentin</w:t>
            </w:r>
            <w:r w:rsidRPr="00C557A1">
              <w:rPr>
                <w:color w:val="auto"/>
                <w:lang w:val="ro-RO"/>
              </w:rPr>
              <w:t xml:space="preserve"> Moț</w:t>
            </w:r>
          </w:p>
        </w:tc>
      </w:tr>
      <w:tr w:rsidR="00C557A1" w:rsidRPr="00C557A1" w14:paraId="0A229DCC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6223A48" w14:textId="77777777" w:rsidR="002946C7" w:rsidRPr="00C557A1" w:rsidRDefault="002946C7">
            <w:pPr>
              <w:pStyle w:val="ECVComments"/>
              <w:rPr>
                <w:color w:val="auto"/>
              </w:rPr>
            </w:pPr>
          </w:p>
        </w:tc>
      </w:tr>
      <w:tr w:rsidR="00C557A1" w:rsidRPr="00C557A1" w14:paraId="72EDD03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0C5314" w14:textId="7A0F0071" w:rsidR="002946C7" w:rsidRPr="00C557A1" w:rsidRDefault="00591F04">
            <w:pPr>
              <w:pStyle w:val="ECVLeftHeading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2C90E7FD" wp14:editId="02ED30E1">
                  <wp:extent cx="1198033" cy="1198033"/>
                  <wp:effectExtent l="0" t="0" r="2540" b="2540"/>
                  <wp:docPr id="11" name="Picture 11" descr="A person in a sui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erson in a suit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966" cy="1200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CDC1A68" w14:textId="77777777" w:rsidR="002946C7" w:rsidRPr="00C557A1" w:rsidRDefault="005169DF" w:rsidP="005169DF">
            <w:pPr>
              <w:pStyle w:val="ECVContactDetails0"/>
              <w:spacing w:line="480" w:lineRule="auto"/>
              <w:rPr>
                <w:color w:val="auto"/>
              </w:rPr>
            </w:pPr>
            <w:r w:rsidRPr="00C557A1">
              <w:rPr>
                <w:color w:val="auto"/>
                <w:lang w:val="ro-RO"/>
              </w:rPr>
              <w:t>11-13</w:t>
            </w:r>
            <w:r w:rsidR="00973F2A" w:rsidRPr="00C557A1">
              <w:rPr>
                <w:noProof/>
                <w:color w:val="auto"/>
                <w:lang w:val="ro-RO" w:eastAsia="ro-RO" w:bidi="ar-SA"/>
              </w:rPr>
              <w:drawing>
                <wp:anchor distT="0" distB="0" distL="0" distR="71755" simplePos="0" relativeHeight="251658240" behindDoc="0" locked="0" layoutInCell="1" allowOverlap="1" wp14:anchorId="6ACEC0AA" wp14:editId="18C22C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C557A1">
              <w:rPr>
                <w:color w:val="auto"/>
              </w:rPr>
              <w:t xml:space="preserve"> </w:t>
            </w:r>
            <w:r w:rsidRPr="00C557A1">
              <w:rPr>
                <w:color w:val="auto"/>
                <w:lang w:val="ro-RO"/>
              </w:rPr>
              <w:t>Șos. Decebal,</w:t>
            </w:r>
            <w:r w:rsidR="008A3390" w:rsidRPr="00C557A1">
              <w:rPr>
                <w:color w:val="auto"/>
                <w:lang w:val="ro-RO"/>
              </w:rPr>
              <w:t xml:space="preserve"> Cernica, 077035, Ilfov, Romania</w:t>
            </w:r>
          </w:p>
        </w:tc>
      </w:tr>
      <w:tr w:rsidR="00C557A1" w:rsidRPr="00C557A1" w14:paraId="5A00EC6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85A8070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32FE1F3B" w14:textId="77777777" w:rsidR="002946C7" w:rsidRPr="00C557A1" w:rsidRDefault="00973F2A" w:rsidP="005169DF">
            <w:pPr>
              <w:pStyle w:val="ECVContactDetails0"/>
              <w:tabs>
                <w:tab w:val="right" w:pos="8218"/>
              </w:tabs>
              <w:spacing w:line="480" w:lineRule="auto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inline distT="0" distB="0" distL="0" distR="0" wp14:anchorId="6C1FBC2B" wp14:editId="18829D3B">
                  <wp:extent cx="124460" cy="130810"/>
                  <wp:effectExtent l="0" t="0" r="8890" b="254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  <w:r w:rsidR="005169DF" w:rsidRPr="00C557A1">
              <w:rPr>
                <w:color w:val="auto"/>
              </w:rPr>
              <w:t xml:space="preserve">  </w:t>
            </w:r>
            <w:r w:rsidR="00ED6134" w:rsidRPr="00C557A1">
              <w:rPr>
                <w:color w:val="auto"/>
                <w:lang w:val="ro-RO"/>
              </w:rPr>
              <w:t>0040 742 293 924</w:t>
            </w:r>
            <w:r w:rsidR="002946C7" w:rsidRPr="00C557A1">
              <w:rPr>
                <w:color w:val="auto"/>
              </w:rPr>
              <w:t xml:space="preserve">       </w:t>
            </w:r>
          </w:p>
        </w:tc>
      </w:tr>
      <w:tr w:rsidR="00C557A1" w:rsidRPr="00C557A1" w14:paraId="1A6DCBA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07A20AE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8449751" w14:textId="77777777" w:rsidR="002946C7" w:rsidRPr="00C557A1" w:rsidRDefault="00973F2A" w:rsidP="005169DF">
            <w:pPr>
              <w:pStyle w:val="ECVContactDetails0"/>
              <w:spacing w:line="480" w:lineRule="auto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anchor distT="0" distB="0" distL="0" distR="71755" simplePos="0" relativeHeight="251658241" behindDoc="0" locked="0" layoutInCell="1" allowOverlap="1" wp14:anchorId="65D6B194" wp14:editId="786770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 w:rsidRPr="00C557A1">
              <w:rPr>
                <w:color w:val="auto"/>
              </w:rPr>
              <w:t xml:space="preserve"> </w:t>
            </w:r>
            <w:hyperlink r:id="rId12" w:history="1">
              <w:r w:rsidR="00B746C8" w:rsidRPr="00C557A1">
                <w:rPr>
                  <w:rStyle w:val="Hyperlink"/>
                  <w:color w:val="auto"/>
                  <w:lang w:val="ro-RO"/>
                </w:rPr>
                <w:t>laurentiu.mot@uadventus.ro</w:t>
              </w:r>
            </w:hyperlink>
            <w:r w:rsidR="005169DF" w:rsidRPr="00C557A1">
              <w:rPr>
                <w:rStyle w:val="Hyperlink"/>
                <w:color w:val="auto"/>
                <w:u w:val="none"/>
                <w:lang w:val="ro-RO"/>
              </w:rPr>
              <w:t>; mtlaurentius@gmail.com</w:t>
            </w:r>
            <w:r w:rsidR="002946C7" w:rsidRPr="00C557A1">
              <w:rPr>
                <w:color w:val="auto"/>
              </w:rPr>
              <w:t xml:space="preserve"> </w:t>
            </w:r>
          </w:p>
        </w:tc>
      </w:tr>
      <w:tr w:rsidR="00C557A1" w:rsidRPr="00C557A1" w14:paraId="713EF2D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2B901B" w14:textId="77777777" w:rsidR="005169DF" w:rsidRPr="00C557A1" w:rsidRDefault="005169DF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7F4410A1" w14:textId="77777777" w:rsidR="005169DF" w:rsidRPr="00C557A1" w:rsidRDefault="005169DF" w:rsidP="005169DF">
            <w:pPr>
              <w:pStyle w:val="ECVContactDetails0"/>
              <w:spacing w:line="480" w:lineRule="auto"/>
              <w:rPr>
                <w:rStyle w:val="ECVHeadingContactDetails"/>
                <w:color w:val="auto"/>
                <w:lang w:val="ro-RO"/>
              </w:rPr>
            </w:pPr>
            <w:r w:rsidRPr="00C557A1">
              <w:rPr>
                <w:rStyle w:val="ECVHeadingContactDetails"/>
                <w:color w:val="auto"/>
                <w:lang w:val="ro-RO"/>
              </w:rPr>
              <w:t xml:space="preserve">Facebook: </w:t>
            </w:r>
            <w:hyperlink r:id="rId13" w:history="1">
              <w:r w:rsidRPr="00C557A1">
                <w:rPr>
                  <w:rStyle w:val="Hyperlink"/>
                  <w:color w:val="auto"/>
                  <w:u w:val="none"/>
                  <w:lang w:val="ro-RO"/>
                </w:rPr>
                <w:t>https://www.facebook.com/mot.laurentiu.1</w:t>
              </w:r>
            </w:hyperlink>
          </w:p>
        </w:tc>
      </w:tr>
      <w:tr w:rsidR="00C557A1" w:rsidRPr="00C557A1" w14:paraId="1C58DFF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6F7EFC4" w14:textId="77777777" w:rsidR="005169DF" w:rsidRPr="00C557A1" w:rsidRDefault="005169DF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0B5DFD6" w14:textId="77777777" w:rsidR="005169DF" w:rsidRPr="00C557A1" w:rsidRDefault="005169DF" w:rsidP="005169DF">
            <w:pPr>
              <w:pStyle w:val="ECVContactDetails0"/>
              <w:spacing w:line="480" w:lineRule="auto"/>
              <w:rPr>
                <w:rStyle w:val="ECVHeadingContactDetails"/>
                <w:color w:val="auto"/>
                <w:lang w:val="ro-RO"/>
              </w:rPr>
            </w:pPr>
            <w:r w:rsidRPr="00C557A1">
              <w:rPr>
                <w:rStyle w:val="ECVHeadingContactDetails"/>
                <w:color w:val="auto"/>
                <w:lang w:val="ro-RO"/>
              </w:rPr>
              <w:t xml:space="preserve">Skype: </w:t>
            </w:r>
            <w:proofErr w:type="spellStart"/>
            <w:r w:rsidRPr="00C557A1">
              <w:rPr>
                <w:rStyle w:val="ECVHeadingContactDetails"/>
                <w:color w:val="auto"/>
                <w:lang w:val="ro-RO"/>
              </w:rPr>
              <w:t>laurentiu.mot</w:t>
            </w:r>
            <w:proofErr w:type="spellEnd"/>
          </w:p>
        </w:tc>
      </w:tr>
      <w:tr w:rsidR="002946C7" w:rsidRPr="00C557A1" w14:paraId="7BFC34F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18951506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A54382F" w14:textId="6078DD16" w:rsidR="002946C7" w:rsidRPr="00C557A1" w:rsidRDefault="002946C7" w:rsidP="005169DF">
            <w:pPr>
              <w:pStyle w:val="ECVGenderRow"/>
              <w:spacing w:line="480" w:lineRule="auto"/>
              <w:rPr>
                <w:color w:val="auto"/>
              </w:rPr>
            </w:pPr>
            <w:r w:rsidRPr="00C557A1">
              <w:rPr>
                <w:rStyle w:val="ECVHeadingContactDetails"/>
                <w:color w:val="auto"/>
              </w:rPr>
              <w:t>Sex</w:t>
            </w:r>
            <w:r w:rsidRPr="00C557A1">
              <w:rPr>
                <w:color w:val="auto"/>
              </w:rPr>
              <w:t xml:space="preserve"> </w:t>
            </w:r>
            <w:r w:rsidR="005169DF" w:rsidRPr="00C557A1">
              <w:rPr>
                <w:color w:val="auto"/>
              </w:rPr>
              <w:t>M</w:t>
            </w:r>
            <w:r w:rsidRPr="00C557A1">
              <w:rPr>
                <w:color w:val="auto"/>
              </w:rPr>
              <w:t xml:space="preserve"> </w:t>
            </w:r>
            <w:r w:rsidRPr="00C557A1">
              <w:rPr>
                <w:rStyle w:val="ECVHeadingContactDetails"/>
                <w:color w:val="auto"/>
              </w:rPr>
              <w:t>| Date of birth</w:t>
            </w:r>
            <w:r w:rsidRPr="00C557A1">
              <w:rPr>
                <w:color w:val="auto"/>
              </w:rPr>
              <w:t xml:space="preserve"> </w:t>
            </w:r>
            <w:r w:rsidR="005169DF" w:rsidRPr="00C557A1">
              <w:rPr>
                <w:color w:val="auto"/>
                <w:lang w:val="ro-RO"/>
              </w:rPr>
              <w:t xml:space="preserve">11/02/1979 </w:t>
            </w:r>
            <w:r w:rsidRPr="00C557A1">
              <w:rPr>
                <w:rStyle w:val="ECVHeadingContactDetails"/>
                <w:color w:val="auto"/>
              </w:rPr>
              <w:t>| Nationality</w:t>
            </w:r>
            <w:r w:rsidRPr="00C557A1">
              <w:rPr>
                <w:color w:val="auto"/>
              </w:rPr>
              <w:t xml:space="preserve"> </w:t>
            </w:r>
            <w:r w:rsidR="005169DF" w:rsidRPr="00C557A1">
              <w:rPr>
                <w:color w:val="auto"/>
              </w:rPr>
              <w:t>Romanian</w:t>
            </w:r>
            <w:r w:rsidRPr="00C557A1">
              <w:rPr>
                <w:color w:val="auto"/>
              </w:rPr>
              <w:t xml:space="preserve"> </w:t>
            </w:r>
          </w:p>
        </w:tc>
      </w:tr>
    </w:tbl>
    <w:p w14:paraId="1588FC64" w14:textId="77777777" w:rsidR="002946C7" w:rsidRPr="00C557A1" w:rsidRDefault="002946C7">
      <w:pPr>
        <w:pStyle w:val="ECVText"/>
        <w:rPr>
          <w:color w:val="auto"/>
        </w:rPr>
      </w:pPr>
    </w:p>
    <w:p w14:paraId="43474A31" w14:textId="77777777" w:rsidR="007D7AD8" w:rsidRPr="00C557A1" w:rsidRDefault="007D7AD8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C557A1" w14:paraId="36EFC8C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507D8E" w14:textId="77777777" w:rsidR="002946C7" w:rsidRPr="00C557A1" w:rsidRDefault="002946C7" w:rsidP="005169DF">
            <w:pPr>
              <w:pStyle w:val="ECVLeftHeading"/>
              <w:jc w:val="center"/>
              <w:rPr>
                <w:color w:val="auto"/>
              </w:rPr>
            </w:pPr>
            <w:r w:rsidRPr="00C557A1">
              <w:rPr>
                <w:caps w:val="0"/>
                <w:color w:val="auto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ED8AB9" w14:textId="77777777" w:rsidR="002946C7" w:rsidRPr="00C557A1" w:rsidRDefault="00973F2A">
            <w:pPr>
              <w:pStyle w:val="ECVBlueBox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inline distT="0" distB="0" distL="0" distR="0" wp14:anchorId="33448085" wp14:editId="66033785">
                  <wp:extent cx="4785995" cy="889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</w:p>
        </w:tc>
      </w:tr>
    </w:tbl>
    <w:p w14:paraId="27F55D05" w14:textId="77777777" w:rsidR="002946C7" w:rsidRPr="00C557A1" w:rsidRDefault="002946C7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557A1" w:rsidRPr="00C557A1" w14:paraId="49E2E48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AFE588B" w14:textId="77777777" w:rsidR="005169DF" w:rsidRPr="00C557A1" w:rsidRDefault="005169DF" w:rsidP="005169DF">
            <w:pPr>
              <w:pStyle w:val="ECVDate"/>
              <w:rPr>
                <w:color w:val="auto"/>
              </w:rPr>
            </w:pPr>
            <w:r w:rsidRPr="00C557A1">
              <w:rPr>
                <w:color w:val="auto"/>
              </w:rPr>
              <w:t>2008-</w:t>
            </w:r>
          </w:p>
          <w:p w14:paraId="5A978A29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029C338B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3D721D82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5DE2DF0A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6393792B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2B9C4E19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266CE901" w14:textId="77777777" w:rsidR="00B76E78" w:rsidRPr="00C557A1" w:rsidRDefault="00B76E78" w:rsidP="005169DF">
            <w:pPr>
              <w:pStyle w:val="ECVDate"/>
              <w:rPr>
                <w:color w:val="auto"/>
              </w:rPr>
            </w:pPr>
          </w:p>
          <w:p w14:paraId="3B338FA0" w14:textId="77777777" w:rsidR="00B76E78" w:rsidRPr="00C557A1" w:rsidRDefault="00B76E78" w:rsidP="005169DF">
            <w:pPr>
              <w:pStyle w:val="ECVDate"/>
              <w:rPr>
                <w:color w:val="auto"/>
                <w:sz w:val="2"/>
                <w:szCs w:val="2"/>
              </w:rPr>
            </w:pPr>
          </w:p>
          <w:p w14:paraId="4419B2CF" w14:textId="77777777" w:rsidR="00225B42" w:rsidRPr="00C557A1" w:rsidRDefault="00225B42" w:rsidP="005169DF">
            <w:pPr>
              <w:pStyle w:val="ECVDate"/>
              <w:rPr>
                <w:color w:val="auto"/>
                <w:sz w:val="2"/>
                <w:szCs w:val="2"/>
              </w:rPr>
            </w:pPr>
          </w:p>
          <w:p w14:paraId="28ED8631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3B41DB38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6883CFE1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23CAD118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36C43DD7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21853CD2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0F7B045B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7D62D625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53BE4765" w14:textId="77777777" w:rsidR="0044015A" w:rsidRPr="00C557A1" w:rsidRDefault="0044015A" w:rsidP="009C0701">
            <w:pPr>
              <w:pStyle w:val="ECVDate"/>
              <w:rPr>
                <w:color w:val="auto"/>
                <w:lang w:val="ro-RO"/>
              </w:rPr>
            </w:pPr>
          </w:p>
          <w:p w14:paraId="45C5D491" w14:textId="77777777" w:rsidR="00B76E78" w:rsidRPr="00C557A1" w:rsidRDefault="00B76E78" w:rsidP="009C0701">
            <w:pPr>
              <w:pStyle w:val="ECVDate"/>
              <w:rPr>
                <w:color w:val="auto"/>
              </w:rPr>
            </w:pPr>
            <w:r w:rsidRPr="00C557A1">
              <w:rPr>
                <w:color w:val="auto"/>
                <w:lang w:val="ro-RO"/>
              </w:rPr>
              <w:t>2002-2008</w:t>
            </w:r>
          </w:p>
        </w:tc>
        <w:tc>
          <w:tcPr>
            <w:tcW w:w="7541" w:type="dxa"/>
            <w:shd w:val="clear" w:color="auto" w:fill="auto"/>
          </w:tcPr>
          <w:p w14:paraId="5178A793" w14:textId="77777777" w:rsidR="005169DF" w:rsidRPr="00C557A1" w:rsidRDefault="005169DF" w:rsidP="005169DF">
            <w:pPr>
              <w:pStyle w:val="ECVSubSectionHeading"/>
              <w:rPr>
                <w:color w:val="auto"/>
                <w:lang w:val="ro-RO"/>
              </w:rPr>
            </w:pPr>
            <w:proofErr w:type="spellStart"/>
            <w:r w:rsidRPr="00C557A1">
              <w:rPr>
                <w:color w:val="auto"/>
                <w:lang w:val="ro-RO"/>
              </w:rPr>
              <w:t>Advent</w:t>
            </w:r>
            <w:r w:rsidR="00B746C8" w:rsidRPr="00C557A1">
              <w:rPr>
                <w:color w:val="auto"/>
                <w:lang w:val="ro-RO"/>
              </w:rPr>
              <w:t>us</w:t>
            </w:r>
            <w:proofErr w:type="spellEnd"/>
            <w:r w:rsidRPr="00C557A1">
              <w:rPr>
                <w:color w:val="auto"/>
                <w:lang w:val="ro-RO"/>
              </w:rPr>
              <w:t xml:space="preserve"> </w:t>
            </w:r>
            <w:r w:rsidR="00B746C8" w:rsidRPr="00C557A1">
              <w:rPr>
                <w:color w:val="auto"/>
                <w:lang w:val="ro-RO"/>
              </w:rPr>
              <w:t>University</w:t>
            </w:r>
            <w:r w:rsidRPr="00C557A1">
              <w:rPr>
                <w:color w:val="auto"/>
                <w:lang w:val="ro-RO"/>
              </w:rPr>
              <w:t xml:space="preserve"> (A</w:t>
            </w:r>
            <w:r w:rsidR="00B746C8" w:rsidRPr="00C557A1">
              <w:rPr>
                <w:color w:val="auto"/>
                <w:lang w:val="ro-RO"/>
              </w:rPr>
              <w:t>U</w:t>
            </w:r>
            <w:r w:rsidRPr="00C557A1">
              <w:rPr>
                <w:color w:val="auto"/>
                <w:lang w:val="ro-RO"/>
              </w:rPr>
              <w:t>)</w:t>
            </w:r>
          </w:p>
          <w:p w14:paraId="1CC197A2" w14:textId="77777777" w:rsidR="00B76E78" w:rsidRPr="00C557A1" w:rsidRDefault="00B76E78" w:rsidP="005169DF">
            <w:pPr>
              <w:pStyle w:val="ECVSubSectionHeading"/>
              <w:rPr>
                <w:color w:val="auto"/>
                <w:sz w:val="2"/>
                <w:szCs w:val="2"/>
                <w:lang w:val="ro-RO"/>
              </w:rPr>
            </w:pPr>
          </w:p>
        </w:tc>
      </w:tr>
      <w:tr w:rsidR="00C557A1" w:rsidRPr="00C557A1" w14:paraId="60049F67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0664EF0" w14:textId="77777777" w:rsidR="005169DF" w:rsidRPr="00C557A1" w:rsidRDefault="005169DF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0FEF07A3" w14:textId="77777777" w:rsidR="005169DF" w:rsidRPr="00C557A1" w:rsidRDefault="005169DF" w:rsidP="005169DF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  <w:r w:rsidRPr="00C557A1">
              <w:rPr>
                <w:color w:val="auto"/>
                <w:sz w:val="18"/>
                <w:szCs w:val="18"/>
                <w:lang w:val="ro-RO"/>
              </w:rPr>
              <w:t>11-13 Șos. Decebal, Cernica, Ilfov, 077035, Romania</w:t>
            </w:r>
          </w:p>
        </w:tc>
      </w:tr>
      <w:tr w:rsidR="00C557A1" w:rsidRPr="00C557A1" w14:paraId="0E667CC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C640C2F" w14:textId="77777777" w:rsidR="005169DF" w:rsidRPr="00C557A1" w:rsidRDefault="005169DF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153431C8" w14:textId="77777777" w:rsidR="005169DF" w:rsidRPr="00C557A1" w:rsidRDefault="00CE66CE" w:rsidP="005169DF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  <w:hyperlink r:id="rId15" w:history="1">
              <w:r w:rsidR="005169DF" w:rsidRPr="00C557A1">
                <w:rPr>
                  <w:rStyle w:val="Hyperlink"/>
                  <w:color w:val="auto"/>
                  <w:sz w:val="18"/>
                  <w:szCs w:val="18"/>
                  <w:u w:val="none"/>
                  <w:lang w:val="ro-RO"/>
                </w:rPr>
                <w:t>www.institutadventist.ro</w:t>
              </w:r>
            </w:hyperlink>
          </w:p>
        </w:tc>
      </w:tr>
      <w:tr w:rsidR="00C557A1" w:rsidRPr="00C557A1" w14:paraId="72F2E7B1" w14:textId="77777777" w:rsidTr="005D5C7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CEB8B1" w14:textId="77777777" w:rsidR="005169DF" w:rsidRPr="00C557A1" w:rsidRDefault="005169DF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71900735" w14:textId="77777777" w:rsidR="00440817" w:rsidRPr="00C557A1" w:rsidRDefault="005169DF" w:rsidP="00440817">
            <w:pPr>
              <w:pStyle w:val="ECVSubSectionHeading"/>
              <w:numPr>
                <w:ilvl w:val="0"/>
                <w:numId w:val="3"/>
              </w:numPr>
              <w:ind w:left="136" w:hanging="136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Teaching classes at A</w:t>
            </w:r>
            <w:r w:rsidR="0044015A" w:rsidRPr="00C557A1">
              <w:rPr>
                <w:color w:val="auto"/>
                <w:sz w:val="18"/>
                <w:szCs w:val="18"/>
                <w:lang w:val="en-US"/>
              </w:rPr>
              <w:t>U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 xml:space="preserve"> and other universities, frequent guest speaker at Hope TV, seminars </w:t>
            </w:r>
            <w:proofErr w:type="gramStart"/>
            <w:r w:rsidRPr="00C557A1">
              <w:rPr>
                <w:color w:val="auto"/>
                <w:sz w:val="18"/>
                <w:szCs w:val="18"/>
                <w:lang w:val="en-US"/>
              </w:rPr>
              <w:t>in the area of</w:t>
            </w:r>
            <w:proofErr w:type="gramEnd"/>
            <w:r w:rsidRPr="00C557A1">
              <w:rPr>
                <w:color w:val="auto"/>
                <w:sz w:val="18"/>
                <w:szCs w:val="18"/>
                <w:lang w:val="en-US"/>
              </w:rPr>
              <w:t xml:space="preserve"> the New Testament, scientific and research activity, participation with paper(s) at local, national, and international </w:t>
            </w:r>
            <w:r w:rsidR="00440817" w:rsidRPr="00C557A1">
              <w:rPr>
                <w:color w:val="auto"/>
                <w:sz w:val="18"/>
                <w:szCs w:val="18"/>
                <w:lang w:val="en-US"/>
              </w:rPr>
              <w:t>conferences, held in Romania and abroad.</w:t>
            </w:r>
          </w:p>
          <w:p w14:paraId="3D718333" w14:textId="77777777" w:rsidR="0044015A" w:rsidRPr="00C557A1" w:rsidRDefault="0044015A" w:rsidP="00073F3F">
            <w:pPr>
              <w:pStyle w:val="ECVSubSectionHeading"/>
              <w:rPr>
                <w:rStyle w:val="ECVHeadingBusinessSector"/>
                <w:color w:val="auto"/>
              </w:rPr>
            </w:pPr>
          </w:p>
          <w:p w14:paraId="46C31A9C" w14:textId="77777777" w:rsidR="0044015A" w:rsidRPr="00C557A1" w:rsidRDefault="00440817" w:rsidP="00073F3F">
            <w:pPr>
              <w:pStyle w:val="ECVSubSectionHeading"/>
              <w:rPr>
                <w:rStyle w:val="ECVHeadingBusinessSector"/>
                <w:color w:val="auto"/>
              </w:rPr>
            </w:pPr>
            <w:r w:rsidRPr="00C557A1">
              <w:rPr>
                <w:rStyle w:val="ECVHeadingBusinessSector"/>
                <w:color w:val="auto"/>
              </w:rPr>
              <w:t>Business or sector</w:t>
            </w:r>
            <w:r w:rsidR="0044015A" w:rsidRPr="00C557A1">
              <w:rPr>
                <w:rStyle w:val="ECVHeadingBusinessSector"/>
                <w:color w:val="auto"/>
              </w:rPr>
              <w:t xml:space="preserve"> </w:t>
            </w:r>
          </w:p>
          <w:p w14:paraId="45E0BFC4" w14:textId="77777777" w:rsidR="0044015A" w:rsidRPr="00C557A1" w:rsidRDefault="0044015A" w:rsidP="0044015A">
            <w:pPr>
              <w:pStyle w:val="ECVSubSectionHeading"/>
              <w:rPr>
                <w:rStyle w:val="ECVHeadingBusinessSector"/>
                <w:color w:val="auto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 xml:space="preserve">Chair of Theology Department at AU, Program Coordinator of Master of Arts in Religion (from Andrews University, extension site, </w:t>
            </w:r>
            <w:proofErr w:type="spellStart"/>
            <w:r w:rsidRPr="00C557A1">
              <w:rPr>
                <w:rStyle w:val="ECVHeadingBusinessSector"/>
                <w:color w:val="auto"/>
                <w:lang w:val="en-US"/>
              </w:rPr>
              <w:t>Cernica</w:t>
            </w:r>
            <w:proofErr w:type="spellEnd"/>
            <w:r w:rsidRPr="00C557A1">
              <w:rPr>
                <w:rStyle w:val="ECVHeadingBusinessSector"/>
                <w:color w:val="auto"/>
                <w:lang w:val="en-US"/>
              </w:rPr>
              <w:t>, Romania)</w:t>
            </w:r>
          </w:p>
          <w:p w14:paraId="660DC90D" w14:textId="77777777" w:rsidR="003029AE" w:rsidRPr="00C557A1" w:rsidRDefault="003029AE" w:rsidP="003029AE">
            <w:pPr>
              <w:pStyle w:val="ECVSubSectionHeading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 xml:space="preserve">2020 -         Rector </w:t>
            </w:r>
          </w:p>
          <w:p w14:paraId="5A29AE06" w14:textId="77777777" w:rsidR="0044015A" w:rsidRPr="00C557A1" w:rsidRDefault="0044015A" w:rsidP="0044015A">
            <w:pPr>
              <w:pStyle w:val="ECVSubSectionHeading"/>
              <w:rPr>
                <w:rStyle w:val="ECVHeadingBusinessSector"/>
                <w:color w:val="auto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>2015-2020 Dean</w:t>
            </w:r>
          </w:p>
          <w:p w14:paraId="5DEC7645" w14:textId="77777777" w:rsidR="0044015A" w:rsidRPr="00C557A1" w:rsidRDefault="0044015A" w:rsidP="00073F3F">
            <w:pPr>
              <w:pStyle w:val="ECVSubSectionHeading"/>
              <w:rPr>
                <w:rStyle w:val="ECVHeadingBusinessSector"/>
                <w:color w:val="auto"/>
              </w:rPr>
            </w:pPr>
          </w:p>
          <w:p w14:paraId="5382107A" w14:textId="77777777" w:rsidR="0044015A" w:rsidRPr="00C557A1" w:rsidRDefault="0044015A" w:rsidP="00073F3F">
            <w:pPr>
              <w:pStyle w:val="ECVSubSectionHeading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Style w:val="ECVHeadingBusinessSector"/>
                <w:color w:val="auto"/>
              </w:rPr>
              <w:t>Academic</w:t>
            </w:r>
            <w:r w:rsidR="00440817" w:rsidRPr="00C557A1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3945AB92" w14:textId="77777777" w:rsidR="003029AE" w:rsidRPr="00C557A1" w:rsidRDefault="003029AE" w:rsidP="003029AE">
            <w:pPr>
              <w:pStyle w:val="ECVSubSectionHeading"/>
              <w:rPr>
                <w:rStyle w:val="ECVHeadingBusinessSector"/>
                <w:color w:val="auto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>2016-          Associate Professor</w:t>
            </w:r>
          </w:p>
          <w:p w14:paraId="07CE43B6" w14:textId="77777777" w:rsidR="003029AE" w:rsidRPr="00C557A1" w:rsidRDefault="003029AE" w:rsidP="003029AE">
            <w:pPr>
              <w:pStyle w:val="ECVSubSectionHeading"/>
              <w:rPr>
                <w:rStyle w:val="ECVHeadingBusinessSector"/>
                <w:color w:val="auto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 xml:space="preserve">2014-2016 Lecturer </w:t>
            </w:r>
          </w:p>
          <w:p w14:paraId="3FBF093D" w14:textId="77777777" w:rsidR="0044015A" w:rsidRPr="00C557A1" w:rsidRDefault="0044015A" w:rsidP="0044015A">
            <w:pPr>
              <w:pStyle w:val="ECVSubSectionHeading"/>
              <w:rPr>
                <w:rStyle w:val="ECVHeadingBusinessSector"/>
                <w:color w:val="auto"/>
                <w:lang w:val="en-US"/>
              </w:rPr>
            </w:pPr>
            <w:r w:rsidRPr="00C557A1">
              <w:rPr>
                <w:rStyle w:val="ECVHeadingBusinessSector"/>
                <w:color w:val="auto"/>
                <w:lang w:val="en-US"/>
              </w:rPr>
              <w:t>2008-2014 Assistant Professor</w:t>
            </w:r>
          </w:p>
          <w:p w14:paraId="3DB37CDA" w14:textId="77777777" w:rsidR="0044015A" w:rsidRPr="00C557A1" w:rsidRDefault="0044015A" w:rsidP="00073F3F">
            <w:pPr>
              <w:pStyle w:val="ECVSubSectionHeading"/>
              <w:rPr>
                <w:color w:val="auto"/>
                <w:sz w:val="18"/>
                <w:szCs w:val="18"/>
                <w:lang w:val="en-US"/>
              </w:rPr>
            </w:pPr>
          </w:p>
          <w:p w14:paraId="29C99ED3" w14:textId="77777777" w:rsidR="00B76E78" w:rsidRPr="00C557A1" w:rsidRDefault="00B76E78" w:rsidP="00073F3F">
            <w:pPr>
              <w:pStyle w:val="ECVSubSectionHeading"/>
              <w:rPr>
                <w:color w:val="auto"/>
                <w:sz w:val="2"/>
                <w:szCs w:val="2"/>
                <w:lang w:val="en-US"/>
              </w:rPr>
            </w:pPr>
          </w:p>
          <w:p w14:paraId="36DED726" w14:textId="77777777" w:rsidR="00225B42" w:rsidRPr="00C557A1" w:rsidRDefault="00225B42" w:rsidP="00073F3F">
            <w:pPr>
              <w:pStyle w:val="ECVSubSectionHeading"/>
              <w:rPr>
                <w:color w:val="auto"/>
                <w:sz w:val="2"/>
                <w:szCs w:val="2"/>
                <w:lang w:val="en-US"/>
              </w:rPr>
            </w:pPr>
          </w:p>
          <w:p w14:paraId="1DF0A61F" w14:textId="77777777" w:rsidR="00225B42" w:rsidRPr="00C557A1" w:rsidRDefault="00225B42" w:rsidP="00073F3F">
            <w:pPr>
              <w:pStyle w:val="ECVSubSectionHeading"/>
              <w:rPr>
                <w:color w:val="auto"/>
                <w:sz w:val="2"/>
                <w:szCs w:val="2"/>
                <w:lang w:val="en-US"/>
              </w:rPr>
            </w:pPr>
          </w:p>
          <w:p w14:paraId="3421BA85" w14:textId="77777777" w:rsidR="00B76E78" w:rsidRPr="00C557A1" w:rsidRDefault="00B76E78" w:rsidP="00B76E78">
            <w:pPr>
              <w:pStyle w:val="ECVSubSectionHeading"/>
              <w:spacing w:line="240" w:lineRule="auto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 xml:space="preserve">Muntenia </w:t>
            </w:r>
            <w:r w:rsidR="00225B42" w:rsidRPr="00C557A1">
              <w:rPr>
                <w:color w:val="auto"/>
                <w:lang w:val="en-US"/>
              </w:rPr>
              <w:t>Conference</w:t>
            </w:r>
          </w:p>
          <w:p w14:paraId="0CFD5032" w14:textId="77777777" w:rsidR="009F5B2E" w:rsidRPr="00C557A1" w:rsidRDefault="009F5B2E" w:rsidP="00B76E78">
            <w:pPr>
              <w:pStyle w:val="NoSpacing"/>
              <w:rPr>
                <w:color w:val="auto"/>
                <w:sz w:val="2"/>
                <w:szCs w:val="2"/>
                <w:lang w:val="ro-RO"/>
              </w:rPr>
            </w:pPr>
          </w:p>
          <w:p w14:paraId="6CFA3367" w14:textId="77777777" w:rsidR="009F5B2E" w:rsidRPr="00C557A1" w:rsidRDefault="009F5B2E" w:rsidP="00B76E78">
            <w:pPr>
              <w:pStyle w:val="NoSpacing"/>
              <w:rPr>
                <w:color w:val="auto"/>
                <w:sz w:val="2"/>
                <w:szCs w:val="2"/>
                <w:lang w:val="ro-RO"/>
              </w:rPr>
            </w:pPr>
          </w:p>
          <w:p w14:paraId="5592DAD2" w14:textId="77777777" w:rsidR="009F5B2E" w:rsidRPr="00C557A1" w:rsidRDefault="009F5B2E" w:rsidP="00B76E78">
            <w:pPr>
              <w:pStyle w:val="NoSpacing"/>
              <w:rPr>
                <w:color w:val="auto"/>
                <w:sz w:val="2"/>
                <w:szCs w:val="2"/>
                <w:lang w:val="ro-RO"/>
              </w:rPr>
            </w:pPr>
          </w:p>
          <w:p w14:paraId="7DE19369" w14:textId="77777777" w:rsidR="00B76E78" w:rsidRPr="00C557A1" w:rsidRDefault="00B76E78" w:rsidP="00B76E78">
            <w:pPr>
              <w:pStyle w:val="NoSpacing"/>
              <w:rPr>
                <w:color w:val="auto"/>
                <w:sz w:val="18"/>
                <w:szCs w:val="18"/>
                <w:lang w:val="ro-RO"/>
              </w:rPr>
            </w:pPr>
            <w:r w:rsidRPr="00C557A1">
              <w:rPr>
                <w:color w:val="auto"/>
                <w:sz w:val="18"/>
                <w:szCs w:val="18"/>
                <w:lang w:val="ro-RO"/>
              </w:rPr>
              <w:t>Str. Negustori 15, sect. 2, București, Romania</w:t>
            </w:r>
          </w:p>
          <w:p w14:paraId="51E11D47" w14:textId="77777777" w:rsidR="00B76E78" w:rsidRPr="00C557A1" w:rsidRDefault="00B76E78" w:rsidP="00B76E78">
            <w:pPr>
              <w:pStyle w:val="NoSpacing"/>
              <w:rPr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ro-RO"/>
              </w:rPr>
              <w:t xml:space="preserve">http://muntenia.adventist.ro/  </w:t>
            </w:r>
          </w:p>
          <w:p w14:paraId="442D09A1" w14:textId="77777777" w:rsidR="00B76E78" w:rsidRPr="00C557A1" w:rsidRDefault="009F5B2E" w:rsidP="00BA68F6">
            <w:pPr>
              <w:pStyle w:val="ECVSubSectionHeading"/>
              <w:numPr>
                <w:ilvl w:val="0"/>
                <w:numId w:val="5"/>
              </w:numPr>
              <w:ind w:left="136" w:hanging="136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Pastoral ministry, youth projects (outing, camps, literary and musical composition contests), speaker at Radio Voice of Hope, bible classes at </w:t>
            </w:r>
            <w:r w:rsidR="0030157A" w:rsidRPr="00C557A1">
              <w:rPr>
                <w:color w:val="auto"/>
                <w:sz w:val="18"/>
                <w:szCs w:val="18"/>
                <w:lang w:val="en-US"/>
              </w:rPr>
              <w:t>the Institute of Bible Studies</w:t>
            </w:r>
            <w:r w:rsidR="00BA68F6" w:rsidRPr="00C557A1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30157A" w:rsidRPr="00C557A1">
              <w:rPr>
                <w:color w:val="auto"/>
                <w:sz w:val="18"/>
                <w:szCs w:val="18"/>
                <w:lang w:val="en-US"/>
              </w:rPr>
              <w:t>Sola Scriptura, guest professor at Adventist Theological Institute.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0ED7415B" w14:textId="77777777" w:rsidR="00225B42" w:rsidRPr="00C557A1" w:rsidRDefault="00BA68F6" w:rsidP="00BA68F6">
            <w:pPr>
              <w:pStyle w:val="ECVSubSectionHeading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Style w:val="ECVHeadingBusinessSector"/>
                <w:color w:val="auto"/>
              </w:rPr>
              <w:t>Business or sector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 xml:space="preserve"> District pastor, youth pastor in the region of Bucharest </w:t>
            </w:r>
          </w:p>
        </w:tc>
      </w:tr>
      <w:tr w:rsidR="00C557A1" w:rsidRPr="00C557A1" w14:paraId="42672583" w14:textId="77777777" w:rsidTr="005D5C75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BAF74DF" w14:textId="77777777" w:rsidR="0044015A" w:rsidRPr="00C557A1" w:rsidRDefault="0044015A" w:rsidP="005169DF">
            <w:pPr>
              <w:rPr>
                <w:color w:val="auto"/>
              </w:rPr>
            </w:pPr>
          </w:p>
          <w:p w14:paraId="45238DB7" w14:textId="77777777" w:rsidR="0044015A" w:rsidRPr="00C557A1" w:rsidRDefault="0044015A" w:rsidP="005169DF">
            <w:pPr>
              <w:rPr>
                <w:color w:val="auto"/>
              </w:rPr>
            </w:pPr>
          </w:p>
          <w:p w14:paraId="00008551" w14:textId="77777777" w:rsidR="0044015A" w:rsidRPr="00C557A1" w:rsidRDefault="0044015A" w:rsidP="005169D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2F07341E" w14:textId="77777777" w:rsidR="0044015A" w:rsidRPr="00C557A1" w:rsidRDefault="0044015A" w:rsidP="0044015A">
            <w:pPr>
              <w:pStyle w:val="ECVSubSectionHeading"/>
              <w:rPr>
                <w:color w:val="auto"/>
                <w:sz w:val="18"/>
                <w:szCs w:val="18"/>
                <w:lang w:val="en-US"/>
              </w:rPr>
            </w:pPr>
          </w:p>
        </w:tc>
      </w:tr>
    </w:tbl>
    <w:p w14:paraId="0A16E637" w14:textId="77777777" w:rsidR="005D5C75" w:rsidRPr="00C557A1" w:rsidRDefault="005D5C75" w:rsidP="005D5C75">
      <w:pPr>
        <w:rPr>
          <w:vanish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C557A1" w14:paraId="6641C8E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B8A745E" w14:textId="77777777" w:rsidR="002946C7" w:rsidRPr="00C557A1" w:rsidRDefault="002946C7">
            <w:pPr>
              <w:pStyle w:val="ECVLeftHeading"/>
              <w:rPr>
                <w:color w:val="auto"/>
              </w:rPr>
            </w:pPr>
            <w:r w:rsidRPr="00C557A1">
              <w:rPr>
                <w:caps w:val="0"/>
                <w:color w:val="auto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99F1050" w14:textId="77777777" w:rsidR="002946C7" w:rsidRPr="00C557A1" w:rsidRDefault="00973F2A">
            <w:pPr>
              <w:pStyle w:val="ECVBlueBox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inline distT="0" distB="0" distL="0" distR="0" wp14:anchorId="2475D4EA" wp14:editId="5775E88D">
                  <wp:extent cx="4785995" cy="88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</w:p>
        </w:tc>
      </w:tr>
    </w:tbl>
    <w:p w14:paraId="04C5C2F4" w14:textId="77777777" w:rsidR="002946C7" w:rsidRPr="00C557A1" w:rsidRDefault="002946C7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25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  <w:gridCol w:w="4932"/>
        <w:gridCol w:w="2610"/>
        <w:gridCol w:w="3627"/>
        <w:gridCol w:w="1305"/>
        <w:gridCol w:w="2610"/>
      </w:tblGrid>
      <w:tr w:rsidR="00C557A1" w:rsidRPr="00C557A1" w14:paraId="0BB1CA64" w14:textId="77777777" w:rsidTr="004B6381">
        <w:trPr>
          <w:gridAfter w:val="1"/>
          <w:wAfter w:w="2610" w:type="dxa"/>
          <w:cantSplit/>
        </w:trPr>
        <w:tc>
          <w:tcPr>
            <w:tcW w:w="2834" w:type="dxa"/>
            <w:vMerge w:val="restart"/>
            <w:shd w:val="clear" w:color="auto" w:fill="auto"/>
          </w:tcPr>
          <w:p w14:paraId="31D4CD7A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2010 – 2014</w:t>
            </w:r>
          </w:p>
          <w:p w14:paraId="4BDB9C0F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42FEC404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42B29BC1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590E0DD5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0B35929A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2145D8D7" w14:textId="77777777" w:rsidR="004B6381" w:rsidRPr="00C557A1" w:rsidRDefault="004B6381" w:rsidP="004B6381">
            <w:pPr>
              <w:pStyle w:val="ECVDate"/>
              <w:rPr>
                <w:color w:val="auto"/>
                <w:lang w:val="ro-RO"/>
              </w:rPr>
            </w:pPr>
          </w:p>
          <w:p w14:paraId="0F9C811B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  <w:r w:rsidRPr="00C557A1">
              <w:rPr>
                <w:color w:val="auto"/>
                <w:szCs w:val="18"/>
                <w:lang w:val="ro-RO"/>
              </w:rPr>
              <w:lastRenderedPageBreak/>
              <w:t>2002 – 2008</w:t>
            </w:r>
          </w:p>
          <w:p w14:paraId="0211A9DA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7AADB6C8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754A0566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33BE1CCE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1F63E354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5614D4D9" w14:textId="77777777" w:rsidR="004B6381" w:rsidRPr="00C557A1" w:rsidRDefault="004B6381" w:rsidP="004B6381">
            <w:pPr>
              <w:pStyle w:val="ECVDate"/>
              <w:rPr>
                <w:color w:val="auto"/>
                <w:szCs w:val="18"/>
                <w:lang w:val="ro-RO"/>
              </w:rPr>
            </w:pPr>
          </w:p>
          <w:p w14:paraId="78365FAC" w14:textId="77777777" w:rsidR="004B6381" w:rsidRPr="00C557A1" w:rsidRDefault="004B6381" w:rsidP="004B6381">
            <w:pPr>
              <w:pStyle w:val="ECVDate"/>
              <w:rPr>
                <w:color w:val="auto"/>
              </w:rPr>
            </w:pPr>
            <w:r w:rsidRPr="00C557A1">
              <w:rPr>
                <w:color w:val="auto"/>
                <w:szCs w:val="18"/>
                <w:lang w:val="ro-RO"/>
              </w:rPr>
              <w:t>1997-2002</w:t>
            </w:r>
          </w:p>
        </w:tc>
        <w:tc>
          <w:tcPr>
            <w:tcW w:w="6237" w:type="dxa"/>
          </w:tcPr>
          <w:p w14:paraId="59013754" w14:textId="77777777" w:rsidR="004B6381" w:rsidRPr="00C557A1" w:rsidRDefault="004B6381" w:rsidP="004B6381">
            <w:pPr>
              <w:pStyle w:val="ECVSubSectionHeading"/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lastRenderedPageBreak/>
              <w:t xml:space="preserve">Doctor in Theology </w:t>
            </w:r>
          </w:p>
        </w:tc>
        <w:tc>
          <w:tcPr>
            <w:tcW w:w="6237" w:type="dxa"/>
            <w:gridSpan w:val="2"/>
          </w:tcPr>
          <w:p w14:paraId="1EB47672" w14:textId="77777777" w:rsidR="004B6381" w:rsidRPr="00C557A1" w:rsidRDefault="004B6381" w:rsidP="004B6381">
            <w:pPr>
              <w:pStyle w:val="ECVRightHeading"/>
              <w:rPr>
                <w:color w:val="auto"/>
                <w:lang w:val="en-US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C30C098" w14:textId="77777777" w:rsidR="004B6381" w:rsidRPr="00C557A1" w:rsidRDefault="004B6381" w:rsidP="004B6381">
            <w:pPr>
              <w:pStyle w:val="ECVSubSectionHeading"/>
              <w:rPr>
                <w:color w:val="auto"/>
              </w:rPr>
            </w:pPr>
            <w:r w:rsidRPr="00C557A1">
              <w:rPr>
                <w:color w:val="auto"/>
              </w:rP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45593E24" w14:textId="77777777" w:rsidR="004B6381" w:rsidRPr="00C557A1" w:rsidRDefault="004B6381" w:rsidP="004B6381">
            <w:pPr>
              <w:pStyle w:val="ECVRightHeading"/>
              <w:rPr>
                <w:color w:val="auto"/>
              </w:rPr>
            </w:pPr>
          </w:p>
        </w:tc>
      </w:tr>
      <w:tr w:rsidR="00C557A1" w:rsidRPr="00C557A1" w14:paraId="23E03200" w14:textId="77777777" w:rsidTr="004B6381">
        <w:trPr>
          <w:cantSplit/>
        </w:trPr>
        <w:tc>
          <w:tcPr>
            <w:tcW w:w="2834" w:type="dxa"/>
            <w:vMerge/>
            <w:shd w:val="clear" w:color="auto" w:fill="auto"/>
          </w:tcPr>
          <w:p w14:paraId="3EAE139A" w14:textId="77777777" w:rsidR="004B6381" w:rsidRPr="00C557A1" w:rsidRDefault="004B6381" w:rsidP="004B6381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</w:tcPr>
          <w:p w14:paraId="3732DA68" w14:textId="77777777" w:rsidR="0044015A" w:rsidRPr="00C557A1" w:rsidRDefault="004B6381" w:rsidP="004B6381">
            <w:pPr>
              <w:pStyle w:val="ECVOrganisationDetails"/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 xml:space="preserve">Adventist International Institute of Advanced Studies, Silang, Cavite, Philippines. </w:t>
            </w:r>
          </w:p>
          <w:p w14:paraId="34F18AFE" w14:textId="77777777" w:rsidR="0044015A" w:rsidRPr="00C557A1" w:rsidRDefault="0044015A" w:rsidP="0044015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New Testament Studies (Exegesis, the Book of Revelation, Gospels, Acts, Pauline Studies)</w:t>
            </w:r>
          </w:p>
          <w:p w14:paraId="316E097E" w14:textId="77777777" w:rsidR="0044015A" w:rsidRPr="00C557A1" w:rsidRDefault="0044015A" w:rsidP="0044015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Biblical languages (Greek, Hebrew, Aramaic)</w:t>
            </w:r>
          </w:p>
          <w:p w14:paraId="656EEABB" w14:textId="77777777" w:rsidR="0044015A" w:rsidRPr="00C557A1" w:rsidRDefault="0044015A" w:rsidP="0044015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Advanced Greek and Linguistics</w:t>
            </w:r>
          </w:p>
          <w:p w14:paraId="6B2FFE78" w14:textId="77777777" w:rsidR="0044015A" w:rsidRPr="00C557A1" w:rsidRDefault="0044015A" w:rsidP="0044015A">
            <w:pPr>
              <w:pStyle w:val="ECVOrganisationDetails"/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Dissertation: “The Morphological and Syntactical Irregularities in the Book of Revelation”</w:t>
            </w:r>
          </w:p>
        </w:tc>
        <w:tc>
          <w:tcPr>
            <w:tcW w:w="7542" w:type="dxa"/>
            <w:gridSpan w:val="2"/>
          </w:tcPr>
          <w:p w14:paraId="2B422912" w14:textId="77777777" w:rsidR="004B6381" w:rsidRPr="00C557A1" w:rsidRDefault="004B6381" w:rsidP="004B6381">
            <w:pPr>
              <w:pStyle w:val="ECVOrganisationDetails"/>
              <w:rPr>
                <w:color w:val="auto"/>
              </w:rPr>
            </w:pPr>
          </w:p>
        </w:tc>
        <w:tc>
          <w:tcPr>
            <w:tcW w:w="7542" w:type="dxa"/>
            <w:gridSpan w:val="3"/>
            <w:shd w:val="clear" w:color="auto" w:fill="auto"/>
          </w:tcPr>
          <w:p w14:paraId="242E6B89" w14:textId="77777777" w:rsidR="004B6381" w:rsidRPr="00C557A1" w:rsidRDefault="004B6381" w:rsidP="004B6381">
            <w:pPr>
              <w:pStyle w:val="ECVOrganisationDetails"/>
              <w:rPr>
                <w:color w:val="auto"/>
              </w:rPr>
            </w:pPr>
            <w:r w:rsidRPr="00C557A1">
              <w:rPr>
                <w:color w:val="auto"/>
              </w:rPr>
              <w:t xml:space="preserve">Replace with education or training organisation’s name and locality (if relevant, country) </w:t>
            </w:r>
          </w:p>
        </w:tc>
      </w:tr>
      <w:tr w:rsidR="00C557A1" w:rsidRPr="00C557A1" w14:paraId="31DD0821" w14:textId="77777777" w:rsidTr="004B6381">
        <w:trPr>
          <w:cantSplit/>
        </w:trPr>
        <w:tc>
          <w:tcPr>
            <w:tcW w:w="2834" w:type="dxa"/>
            <w:vMerge/>
            <w:shd w:val="clear" w:color="auto" w:fill="auto"/>
          </w:tcPr>
          <w:p w14:paraId="6AEAEB8F" w14:textId="77777777" w:rsidR="004B6381" w:rsidRPr="00C557A1" w:rsidRDefault="004B6381" w:rsidP="004B6381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</w:tcPr>
          <w:p w14:paraId="515BCAAE" w14:textId="77777777" w:rsidR="004B6381" w:rsidRPr="00C557A1" w:rsidRDefault="004B6381" w:rsidP="004B6381">
            <w:pPr>
              <w:pStyle w:val="ECVSectionBullet"/>
              <w:rPr>
                <w:color w:val="auto"/>
                <w:sz w:val="22"/>
                <w:szCs w:val="22"/>
                <w:lang w:val="en-US"/>
              </w:rPr>
            </w:pPr>
            <w:r w:rsidRPr="00C557A1">
              <w:rPr>
                <w:color w:val="auto"/>
                <w:sz w:val="22"/>
                <w:szCs w:val="22"/>
                <w:lang w:val="en-US"/>
              </w:rPr>
              <w:t>Master of arts in Religion</w:t>
            </w:r>
          </w:p>
          <w:p w14:paraId="497B4742" w14:textId="77777777" w:rsidR="004B6381" w:rsidRPr="00C557A1" w:rsidRDefault="004B6381" w:rsidP="004B6381">
            <w:pPr>
              <w:pStyle w:val="ECVSectionBullet"/>
              <w:rPr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en-US"/>
              </w:rPr>
              <w:t>Andrews University, Berrien Springs, Michigan, SUA</w:t>
            </w:r>
          </w:p>
          <w:p w14:paraId="196984D9" w14:textId="77777777" w:rsidR="004B6381" w:rsidRPr="00C557A1" w:rsidRDefault="004B6381" w:rsidP="004B6381">
            <w:pPr>
              <w:pStyle w:val="ECVSectionBullet"/>
              <w:rPr>
                <w:color w:val="auto"/>
                <w:sz w:val="2"/>
                <w:szCs w:val="2"/>
                <w:lang w:val="en-US"/>
              </w:rPr>
            </w:pPr>
          </w:p>
          <w:p w14:paraId="001A3275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 xml:space="preserve">New Testament Studies </w:t>
            </w:r>
          </w:p>
          <w:p w14:paraId="080E59C5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Old Testament Studies</w:t>
            </w:r>
          </w:p>
          <w:p w14:paraId="299694F0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Systematic theology</w:t>
            </w:r>
          </w:p>
          <w:p w14:paraId="10DC9026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US"/>
              </w:rPr>
            </w:pPr>
            <w:r w:rsidRPr="00C557A1">
              <w:rPr>
                <w:color w:val="auto"/>
                <w:lang w:val="en-US"/>
              </w:rPr>
              <w:t>Thesis: “The Relationship Between the Four Living Creatures and the Four Riders in Rev 6:1-8”</w:t>
            </w:r>
          </w:p>
          <w:p w14:paraId="7892CBA5" w14:textId="77777777" w:rsidR="004B6381" w:rsidRPr="00C557A1" w:rsidRDefault="004B6381" w:rsidP="004B6381">
            <w:pPr>
              <w:pStyle w:val="ECVSectionBullet"/>
              <w:rPr>
                <w:color w:val="auto"/>
                <w:szCs w:val="18"/>
                <w:lang w:val="en-US"/>
              </w:rPr>
            </w:pPr>
          </w:p>
          <w:p w14:paraId="329B663A" w14:textId="77777777" w:rsidR="004B6381" w:rsidRPr="00C557A1" w:rsidRDefault="006C323C" w:rsidP="004B6381">
            <w:pPr>
              <w:pStyle w:val="ECVSectionBullet"/>
              <w:rPr>
                <w:color w:val="auto"/>
                <w:sz w:val="22"/>
                <w:szCs w:val="22"/>
                <w:lang w:val="en-US"/>
              </w:rPr>
            </w:pPr>
            <w:r w:rsidRPr="00C557A1">
              <w:rPr>
                <w:color w:val="auto"/>
                <w:sz w:val="22"/>
                <w:szCs w:val="22"/>
                <w:lang w:val="en-US"/>
              </w:rPr>
              <w:t>Bachelor of arts in Theology</w:t>
            </w:r>
          </w:p>
          <w:p w14:paraId="0EAD82E2" w14:textId="77777777" w:rsidR="007D7AD8" w:rsidRPr="00C557A1" w:rsidRDefault="006C323C" w:rsidP="006C323C">
            <w:pPr>
              <w:pStyle w:val="ECVSectionBullet"/>
              <w:rPr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en-US"/>
              </w:rPr>
              <w:t>University of Bucharest</w:t>
            </w:r>
            <w:r w:rsidR="004B6381" w:rsidRPr="00C557A1">
              <w:rPr>
                <w:color w:val="auto"/>
                <w:szCs w:val="18"/>
                <w:lang w:val="en-US"/>
              </w:rPr>
              <w:t xml:space="preserve">, </w:t>
            </w:r>
            <w:r w:rsidRPr="00C557A1">
              <w:rPr>
                <w:color w:val="auto"/>
                <w:szCs w:val="18"/>
                <w:lang w:val="en-US"/>
              </w:rPr>
              <w:t>Baptist Theological College</w:t>
            </w:r>
            <w:r w:rsidR="004B6381" w:rsidRPr="00C557A1">
              <w:rPr>
                <w:color w:val="auto"/>
                <w:szCs w:val="18"/>
                <w:lang w:val="en-US"/>
              </w:rPr>
              <w:t xml:space="preserve">, </w:t>
            </w:r>
          </w:p>
          <w:p w14:paraId="3182DA57" w14:textId="77777777" w:rsidR="004B6381" w:rsidRPr="00C557A1" w:rsidRDefault="006C323C" w:rsidP="006C323C">
            <w:pPr>
              <w:pStyle w:val="ECVSectionBullet"/>
              <w:rPr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en-US"/>
              </w:rPr>
              <w:t>Major in Adventist Pastoral Theology</w:t>
            </w:r>
          </w:p>
          <w:p w14:paraId="03FF04F7" w14:textId="77777777" w:rsidR="0044015A" w:rsidRPr="00C557A1" w:rsidRDefault="0044015A" w:rsidP="006C323C">
            <w:pPr>
              <w:pStyle w:val="ECVSectionBullet"/>
              <w:rPr>
                <w:color w:val="auto"/>
                <w:szCs w:val="18"/>
                <w:lang w:val="en-US"/>
              </w:rPr>
            </w:pPr>
          </w:p>
        </w:tc>
        <w:tc>
          <w:tcPr>
            <w:tcW w:w="7542" w:type="dxa"/>
            <w:gridSpan w:val="2"/>
          </w:tcPr>
          <w:p w14:paraId="696E2489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</w:p>
        </w:tc>
        <w:tc>
          <w:tcPr>
            <w:tcW w:w="7542" w:type="dxa"/>
            <w:gridSpan w:val="3"/>
            <w:shd w:val="clear" w:color="auto" w:fill="auto"/>
          </w:tcPr>
          <w:p w14:paraId="417C8D70" w14:textId="77777777" w:rsidR="004B6381" w:rsidRPr="00C557A1" w:rsidRDefault="004B6381" w:rsidP="004B638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color w:val="auto"/>
              </w:rPr>
              <w:t>Replace with a list of principal subjects covered or skills acquired</w:t>
            </w:r>
          </w:p>
          <w:p w14:paraId="624ACA37" w14:textId="77777777" w:rsidR="004B6381" w:rsidRPr="00C557A1" w:rsidRDefault="004B6381" w:rsidP="004B6381">
            <w:pPr>
              <w:pStyle w:val="ECVSectionBullet"/>
              <w:rPr>
                <w:color w:val="auto"/>
              </w:rPr>
            </w:pPr>
          </w:p>
          <w:p w14:paraId="6A3C9996" w14:textId="77777777" w:rsidR="004B6381" w:rsidRPr="00C557A1" w:rsidRDefault="004B6381" w:rsidP="004B6381">
            <w:pPr>
              <w:pStyle w:val="ECVSectionBullet"/>
              <w:rPr>
                <w:color w:val="auto"/>
              </w:rPr>
            </w:pPr>
            <w:r w:rsidRPr="00C557A1">
              <w:rPr>
                <w:color w:val="auto"/>
              </w:rPr>
              <w:t>Replace with qualification awarded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C557A1" w14:paraId="7E5BF59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78D9E67" w14:textId="77777777" w:rsidR="002946C7" w:rsidRPr="00C557A1" w:rsidRDefault="00225B42">
            <w:pPr>
              <w:pStyle w:val="ECVLeftHeading"/>
              <w:rPr>
                <w:color w:val="auto"/>
              </w:rPr>
            </w:pPr>
            <w:r w:rsidRPr="00C557A1">
              <w:rPr>
                <w:color w:val="auto"/>
              </w:rPr>
              <w:br w:type="page"/>
            </w:r>
            <w:r w:rsidR="002946C7" w:rsidRPr="00C557A1">
              <w:rPr>
                <w:caps w:val="0"/>
                <w:color w:val="auto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0282AC" w14:textId="77777777" w:rsidR="002946C7" w:rsidRPr="00C557A1" w:rsidRDefault="00973F2A">
            <w:pPr>
              <w:pStyle w:val="ECVBlueBox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inline distT="0" distB="0" distL="0" distR="0" wp14:anchorId="6167575E" wp14:editId="548F8B70">
                  <wp:extent cx="4785995" cy="889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</w:p>
        </w:tc>
      </w:tr>
    </w:tbl>
    <w:p w14:paraId="28E9C4C0" w14:textId="77777777" w:rsidR="002946C7" w:rsidRPr="00C557A1" w:rsidRDefault="002946C7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557A1" w:rsidRPr="00C557A1" w14:paraId="4347FF8E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B2DCF65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77A20C6" w14:textId="77777777" w:rsidR="002946C7" w:rsidRPr="00C557A1" w:rsidRDefault="006C323C">
            <w:pPr>
              <w:pStyle w:val="ECVSectionDetails"/>
              <w:rPr>
                <w:color w:val="auto"/>
              </w:rPr>
            </w:pPr>
            <w:r w:rsidRPr="00C557A1">
              <w:rPr>
                <w:color w:val="auto"/>
              </w:rPr>
              <w:t>Romanian</w:t>
            </w:r>
          </w:p>
        </w:tc>
      </w:tr>
      <w:tr w:rsidR="00C557A1" w:rsidRPr="00C557A1" w14:paraId="4F6F190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C23CA32" w14:textId="77777777" w:rsidR="002946C7" w:rsidRPr="00C557A1" w:rsidRDefault="002946C7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410B150" w14:textId="77777777" w:rsidR="002946C7" w:rsidRPr="00C557A1" w:rsidRDefault="002946C7">
            <w:pPr>
              <w:pStyle w:val="ECVRightColumn"/>
              <w:rPr>
                <w:color w:val="auto"/>
              </w:rPr>
            </w:pPr>
          </w:p>
        </w:tc>
      </w:tr>
      <w:tr w:rsidR="00C557A1" w:rsidRPr="00C557A1" w14:paraId="11B3F06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4205957" w14:textId="77777777" w:rsidR="002946C7" w:rsidRPr="00C557A1" w:rsidRDefault="002946C7">
            <w:pPr>
              <w:pStyle w:val="ECVLeftDetails"/>
              <w:rPr>
                <w:caps/>
                <w:color w:val="auto"/>
              </w:rPr>
            </w:pPr>
            <w:r w:rsidRPr="00C557A1">
              <w:rPr>
                <w:color w:val="auto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104E1A" w14:textId="77777777" w:rsidR="002946C7" w:rsidRPr="00C557A1" w:rsidRDefault="002946C7">
            <w:pPr>
              <w:pStyle w:val="ECVLanguage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90F9B6" w14:textId="77777777" w:rsidR="002946C7" w:rsidRPr="00C557A1" w:rsidRDefault="002946C7">
            <w:pPr>
              <w:pStyle w:val="ECVLanguage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C892C9" w14:textId="77777777" w:rsidR="002946C7" w:rsidRPr="00C557A1" w:rsidRDefault="002946C7">
            <w:pPr>
              <w:pStyle w:val="ECVLanguage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WRITING </w:t>
            </w:r>
          </w:p>
        </w:tc>
      </w:tr>
      <w:tr w:rsidR="00C557A1" w:rsidRPr="00C557A1" w14:paraId="6386225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1B6369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8C17682" w14:textId="77777777" w:rsidR="002946C7" w:rsidRPr="00C557A1" w:rsidRDefault="002946C7">
            <w:pPr>
              <w:pStyle w:val="ECVLanguageSub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EC1804" w14:textId="77777777" w:rsidR="002946C7" w:rsidRPr="00C557A1" w:rsidRDefault="002946C7">
            <w:pPr>
              <w:pStyle w:val="ECVLanguageSub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62338A" w14:textId="77777777" w:rsidR="002946C7" w:rsidRPr="00C557A1" w:rsidRDefault="002946C7">
            <w:pPr>
              <w:pStyle w:val="ECVLanguageSub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5FDFB2" w14:textId="77777777" w:rsidR="002946C7" w:rsidRPr="00C557A1" w:rsidRDefault="002946C7">
            <w:pPr>
              <w:pStyle w:val="ECVLanguageSubHeading"/>
              <w:rPr>
                <w:color w:val="auto"/>
              </w:rPr>
            </w:pPr>
            <w:r w:rsidRPr="00C557A1">
              <w:rPr>
                <w:color w:val="auto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1569BC" w14:textId="77777777" w:rsidR="002946C7" w:rsidRPr="00C557A1" w:rsidRDefault="002946C7">
            <w:pPr>
              <w:pStyle w:val="ECVRightColumn"/>
              <w:rPr>
                <w:color w:val="auto"/>
              </w:rPr>
            </w:pPr>
          </w:p>
        </w:tc>
      </w:tr>
      <w:tr w:rsidR="00C557A1" w:rsidRPr="00C557A1" w14:paraId="4CE3CC7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BE15E85" w14:textId="77777777" w:rsidR="006C323C" w:rsidRPr="00C557A1" w:rsidRDefault="006C323C" w:rsidP="006C323C">
            <w:pPr>
              <w:pStyle w:val="ECVLanguageName"/>
              <w:rPr>
                <w:color w:val="auto"/>
              </w:rPr>
            </w:pPr>
            <w:r w:rsidRPr="00C557A1">
              <w:rPr>
                <w:color w:val="auto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F3DD25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C2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77C38F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962D2D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C2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4FE43A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C2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F3467B" w14:textId="77777777" w:rsidR="006C323C" w:rsidRPr="00C557A1" w:rsidRDefault="006C323C" w:rsidP="006C323C">
            <w:pPr>
              <w:pStyle w:val="ECVLanguageLevel"/>
              <w:rPr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C2 </w:t>
            </w:r>
          </w:p>
        </w:tc>
      </w:tr>
      <w:tr w:rsidR="00C557A1" w:rsidRPr="00C557A1" w14:paraId="3C0247A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A283E75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4F0FC0C" w14:textId="77777777" w:rsidR="002946C7" w:rsidRPr="00C557A1" w:rsidRDefault="006C323C">
            <w:pPr>
              <w:pStyle w:val="ECVLanguageCertificate"/>
              <w:rPr>
                <w:color w:val="auto"/>
              </w:rPr>
            </w:pPr>
            <w:r w:rsidRPr="00C557A1">
              <w:rPr>
                <w:color w:val="auto"/>
              </w:rPr>
              <w:t>Master and PhD studies completed in English</w:t>
            </w:r>
          </w:p>
        </w:tc>
      </w:tr>
      <w:tr w:rsidR="00C557A1" w:rsidRPr="00C557A1" w14:paraId="139F38A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E82BB36" w14:textId="77777777" w:rsidR="006C323C" w:rsidRPr="00C557A1" w:rsidRDefault="00EC386C" w:rsidP="006C323C">
            <w:pPr>
              <w:pStyle w:val="ECVLanguageName"/>
              <w:rPr>
                <w:color w:val="auto"/>
              </w:rPr>
            </w:pPr>
            <w:r w:rsidRPr="00C557A1">
              <w:rPr>
                <w:color w:val="auto"/>
              </w:rPr>
              <w:t>Italian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54EAA6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B1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BAA897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A2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E26ADF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A1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2AA175" w14:textId="77777777" w:rsidR="006C323C" w:rsidRPr="00C557A1" w:rsidRDefault="006C323C" w:rsidP="006C323C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A1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810B68" w14:textId="77777777" w:rsidR="006C323C" w:rsidRPr="00C557A1" w:rsidRDefault="006C323C" w:rsidP="006C323C">
            <w:pPr>
              <w:pStyle w:val="ECVLanguageLevel"/>
              <w:rPr>
                <w:color w:val="auto"/>
                <w:lang w:val="ro-RO"/>
              </w:rPr>
            </w:pPr>
            <w:r w:rsidRPr="00C557A1">
              <w:rPr>
                <w:caps w:val="0"/>
                <w:color w:val="auto"/>
                <w:lang w:val="ro-RO"/>
              </w:rPr>
              <w:t xml:space="preserve">A1 </w:t>
            </w:r>
          </w:p>
        </w:tc>
      </w:tr>
      <w:tr w:rsidR="00C557A1" w:rsidRPr="00C557A1" w14:paraId="3201DDD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E4DF88C" w14:textId="77777777" w:rsidR="002946C7" w:rsidRPr="00C557A1" w:rsidRDefault="002946C7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7044F96F" w14:textId="77777777" w:rsidR="002946C7" w:rsidRPr="00C557A1" w:rsidRDefault="002946C7">
            <w:pPr>
              <w:pStyle w:val="ECVLanguageExplanation"/>
              <w:rPr>
                <w:color w:val="auto"/>
              </w:rPr>
            </w:pPr>
            <w:r w:rsidRPr="00C557A1">
              <w:rPr>
                <w:color w:val="auto"/>
              </w:rPr>
              <w:t>Levels: A1/2: Basic user - B1/2: Independent user - C1/2 Proficient user</w:t>
            </w:r>
          </w:p>
          <w:p w14:paraId="21220AB7" w14:textId="77777777" w:rsidR="002946C7" w:rsidRPr="00C557A1" w:rsidRDefault="002946C7">
            <w:pPr>
              <w:pStyle w:val="ECVLanguageExplanation"/>
              <w:rPr>
                <w:color w:val="auto"/>
              </w:rPr>
            </w:pPr>
            <w:r w:rsidRPr="00C557A1">
              <w:rPr>
                <w:color w:val="auto"/>
              </w:rPr>
              <w:t>Common European Framework of Reference for Languages</w:t>
            </w:r>
          </w:p>
        </w:tc>
      </w:tr>
    </w:tbl>
    <w:p w14:paraId="0CA7F592" w14:textId="77777777" w:rsidR="002946C7" w:rsidRPr="00C557A1" w:rsidRDefault="002946C7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7BA62FF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849691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5390F8D0" w14:textId="77777777" w:rsidR="002946C7" w:rsidRPr="00C557A1" w:rsidRDefault="002946C7" w:rsidP="0074542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color w:val="auto"/>
              </w:rPr>
              <w:t xml:space="preserve">good communication skills gained through my experience as </w:t>
            </w:r>
            <w:r w:rsidR="0074542F" w:rsidRPr="00C557A1">
              <w:rPr>
                <w:color w:val="auto"/>
              </w:rPr>
              <w:t>a pastor, professor, and public, radio, and TV speaker</w:t>
            </w:r>
          </w:p>
        </w:tc>
      </w:tr>
    </w:tbl>
    <w:p w14:paraId="318BAA05" w14:textId="77777777" w:rsidR="002946C7" w:rsidRPr="00C557A1" w:rsidRDefault="002946C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3C1F6A9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0642C7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493CB8A4" w14:textId="77777777" w:rsidR="0074542F" w:rsidRPr="00C557A1" w:rsidRDefault="0074542F" w:rsidP="0074542F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 xml:space="preserve">Leadership (currently, I am the </w:t>
            </w:r>
            <w:r w:rsidR="00F5561E" w:rsidRPr="00C557A1">
              <w:rPr>
                <w:rFonts w:cs="Arial"/>
                <w:color w:val="auto"/>
                <w:szCs w:val="18"/>
                <w:lang w:val="en-US"/>
              </w:rPr>
              <w:t>t</w:t>
            </w:r>
            <w:r w:rsidRPr="00C557A1">
              <w:rPr>
                <w:rFonts w:cs="Arial"/>
                <w:color w:val="auto"/>
                <w:szCs w:val="18"/>
                <w:lang w:val="en-US"/>
              </w:rPr>
              <w:t>heology department chair at ATI</w:t>
            </w:r>
            <w:r w:rsidR="00F5561E" w:rsidRPr="00C557A1">
              <w:rPr>
                <w:rFonts w:cs="Arial"/>
                <w:color w:val="auto"/>
                <w:szCs w:val="18"/>
                <w:lang w:val="en-US"/>
              </w:rPr>
              <w:t xml:space="preserve"> and the MAR program director (program in extension from Andrews University</w:t>
            </w:r>
            <w:r w:rsidR="00737BDC" w:rsidRPr="00C557A1">
              <w:rPr>
                <w:rFonts w:cs="Arial"/>
                <w:color w:val="auto"/>
                <w:szCs w:val="18"/>
                <w:lang w:val="en-US"/>
              </w:rPr>
              <w:t>, and the Dear of ATI</w:t>
            </w:r>
            <w:r w:rsidR="00F5561E" w:rsidRPr="00C557A1">
              <w:rPr>
                <w:rFonts w:cs="Arial"/>
                <w:color w:val="auto"/>
                <w:szCs w:val="18"/>
                <w:lang w:val="en-US"/>
              </w:rPr>
              <w:t xml:space="preserve">) </w:t>
            </w:r>
          </w:p>
          <w:p w14:paraId="39843815" w14:textId="77777777" w:rsidR="0074542F" w:rsidRPr="00C557A1" w:rsidRDefault="00F5561E" w:rsidP="007454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 xml:space="preserve">I easily and effectively coordinate extra-curricular projects (I organized more than 10 youth camps with a participation between 60 to 100 persons). </w:t>
            </w:r>
          </w:p>
          <w:p w14:paraId="20684291" w14:textId="77777777" w:rsidR="002946C7" w:rsidRPr="00C557A1" w:rsidRDefault="00F5561E" w:rsidP="0074542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Creativity</w:t>
            </w:r>
          </w:p>
          <w:p w14:paraId="5ACE6C59" w14:textId="77777777" w:rsidR="00737BDC" w:rsidRPr="00C557A1" w:rsidRDefault="00737BDC" w:rsidP="0074542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Bold vision</w:t>
            </w:r>
          </w:p>
        </w:tc>
      </w:tr>
    </w:tbl>
    <w:p w14:paraId="1C494860" w14:textId="77777777" w:rsidR="002946C7" w:rsidRPr="00C557A1" w:rsidRDefault="002946C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780E8DE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6A47B8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24E2435" w14:textId="77777777" w:rsidR="00F5561E" w:rsidRPr="00C557A1" w:rsidRDefault="00F5561E" w:rsidP="00F55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 xml:space="preserve">I keep and develop the relationships that I have. </w:t>
            </w:r>
          </w:p>
          <w:p w14:paraId="0ACFA7E0" w14:textId="77777777" w:rsidR="00F5561E" w:rsidRPr="00C557A1" w:rsidRDefault="00F5561E" w:rsidP="00F55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>I find it easy to interact with people.</w:t>
            </w:r>
          </w:p>
          <w:p w14:paraId="5B67ECB4" w14:textId="77777777" w:rsidR="00F5561E" w:rsidRPr="00C557A1" w:rsidRDefault="00F5561E" w:rsidP="00F55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>I combine friendship with firmness.</w:t>
            </w:r>
          </w:p>
          <w:p w14:paraId="3CF0AC4B" w14:textId="77777777" w:rsidR="002946C7" w:rsidRPr="00C557A1" w:rsidRDefault="00F5561E" w:rsidP="00F5561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I am a trustworthy confessor.</w:t>
            </w:r>
          </w:p>
        </w:tc>
      </w:tr>
    </w:tbl>
    <w:p w14:paraId="61672D96" w14:textId="77777777" w:rsidR="002946C7" w:rsidRPr="00C557A1" w:rsidRDefault="002946C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24149B1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E4CBCC4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70F28CE8" w14:textId="77777777" w:rsidR="002946C7" w:rsidRPr="00C557A1" w:rsidRDefault="00F5561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color w:val="auto"/>
                <w:lang w:val="ro-RO"/>
              </w:rPr>
              <w:t xml:space="preserve">Office, </w:t>
            </w:r>
            <w:proofErr w:type="spellStart"/>
            <w:r w:rsidRPr="00C557A1">
              <w:rPr>
                <w:color w:val="auto"/>
                <w:lang w:val="ro-RO"/>
              </w:rPr>
              <w:t>Bible</w:t>
            </w:r>
            <w:proofErr w:type="spellEnd"/>
            <w:r w:rsidRPr="00C557A1">
              <w:rPr>
                <w:color w:val="auto"/>
                <w:lang w:val="ro-RO"/>
              </w:rPr>
              <w:t xml:space="preserve"> Works, Logos,</w:t>
            </w:r>
            <w:r w:rsidR="0066612A" w:rsidRPr="00C557A1">
              <w:rPr>
                <w:color w:val="auto"/>
                <w:lang w:val="ro-RO"/>
              </w:rPr>
              <w:t xml:space="preserve"> TLG,</w:t>
            </w:r>
            <w:r w:rsidRPr="00C557A1">
              <w:rPr>
                <w:color w:val="auto"/>
                <w:lang w:val="ro-RO"/>
              </w:rPr>
              <w:t xml:space="preserve"> Finale</w:t>
            </w:r>
            <w:r w:rsidR="00C41527" w:rsidRPr="00C557A1">
              <w:rPr>
                <w:color w:val="auto"/>
                <w:lang w:val="ro-RO"/>
              </w:rPr>
              <w:t xml:space="preserve">, Google </w:t>
            </w:r>
            <w:proofErr w:type="spellStart"/>
            <w:r w:rsidR="00C41527" w:rsidRPr="00C557A1">
              <w:rPr>
                <w:color w:val="auto"/>
                <w:lang w:val="ro-RO"/>
              </w:rPr>
              <w:t>Classroom</w:t>
            </w:r>
            <w:proofErr w:type="spellEnd"/>
          </w:p>
        </w:tc>
      </w:tr>
    </w:tbl>
    <w:p w14:paraId="458E901B" w14:textId="77777777" w:rsidR="002946C7" w:rsidRPr="00C557A1" w:rsidRDefault="002946C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34BDC7C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3B31FB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EF91950" w14:textId="77777777" w:rsidR="00F5561E" w:rsidRPr="00C557A1" w:rsidRDefault="00F5561E" w:rsidP="00F55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 xml:space="preserve">Vocal music (group, choir, </w:t>
            </w:r>
            <w:r w:rsidR="0072540D" w:rsidRPr="00C557A1">
              <w:rPr>
                <w:rFonts w:ascii="Arial" w:hAnsi="Arial" w:cs="Arial"/>
                <w:sz w:val="18"/>
                <w:szCs w:val="18"/>
              </w:rPr>
              <w:t>five</w:t>
            </w:r>
            <w:r w:rsidRPr="00C557A1">
              <w:rPr>
                <w:rFonts w:ascii="Arial" w:hAnsi="Arial" w:cs="Arial"/>
                <w:sz w:val="18"/>
                <w:szCs w:val="18"/>
              </w:rPr>
              <w:t xml:space="preserve"> albums with the men group ADVERUM in 2002, 2003, 2009, 2012</w:t>
            </w:r>
            <w:r w:rsidR="0072540D" w:rsidRPr="00C557A1">
              <w:rPr>
                <w:rFonts w:ascii="Arial" w:hAnsi="Arial" w:cs="Arial"/>
                <w:sz w:val="18"/>
                <w:szCs w:val="18"/>
              </w:rPr>
              <w:t>, and 201</w:t>
            </w:r>
            <w:r w:rsidR="00850A68" w:rsidRPr="00C557A1">
              <w:rPr>
                <w:rFonts w:ascii="Arial" w:hAnsi="Arial" w:cs="Arial"/>
                <w:sz w:val="18"/>
                <w:szCs w:val="18"/>
              </w:rPr>
              <w:t>5</w:t>
            </w:r>
            <w:r w:rsidRPr="00C557A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4CF590" w14:textId="77777777" w:rsidR="00F5561E" w:rsidRPr="00C557A1" w:rsidRDefault="00F5561E" w:rsidP="00F55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>Instrumental music: piano and ocarina</w:t>
            </w:r>
          </w:p>
          <w:p w14:paraId="24759DE9" w14:textId="77777777" w:rsidR="00F5561E" w:rsidRPr="00C557A1" w:rsidRDefault="00F5561E" w:rsidP="00105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>Piano accompaniment for group, choir, and instruments</w:t>
            </w:r>
          </w:p>
          <w:p w14:paraId="4F37AC37" w14:textId="77777777" w:rsidR="00F5561E" w:rsidRPr="00C557A1" w:rsidRDefault="00F5561E" w:rsidP="00105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557A1">
              <w:rPr>
                <w:rFonts w:ascii="Arial" w:hAnsi="Arial" w:cs="Arial"/>
                <w:sz w:val="18"/>
                <w:szCs w:val="18"/>
              </w:rPr>
              <w:t>Music composition</w:t>
            </w:r>
          </w:p>
          <w:p w14:paraId="25D69924" w14:textId="77777777" w:rsidR="002946C7" w:rsidRPr="00C557A1" w:rsidRDefault="00F5561E" w:rsidP="00F5561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Literary composition (poetry, prose, lyrics for music)</w:t>
            </w:r>
          </w:p>
        </w:tc>
      </w:tr>
    </w:tbl>
    <w:p w14:paraId="6FA604FE" w14:textId="77777777" w:rsidR="002946C7" w:rsidRPr="00C557A1" w:rsidRDefault="002946C7" w:rsidP="007D4A9B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557A1" w:rsidRPr="00C557A1" w14:paraId="58AC74A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1A6D19" w14:textId="77777777" w:rsidR="002946C7" w:rsidRPr="00C557A1" w:rsidRDefault="002946C7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3D8366B" w14:textId="77777777" w:rsidR="002946C7" w:rsidRPr="00C557A1" w:rsidRDefault="00F5561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557A1">
              <w:rPr>
                <w:color w:val="auto"/>
              </w:rPr>
              <w:t xml:space="preserve">Category </w:t>
            </w:r>
            <w:r w:rsidR="002946C7" w:rsidRPr="00C557A1">
              <w:rPr>
                <w:color w:val="auto"/>
              </w:rPr>
              <w:t>B</w:t>
            </w:r>
          </w:p>
        </w:tc>
      </w:tr>
    </w:tbl>
    <w:p w14:paraId="6B03CC9C" w14:textId="77777777" w:rsidR="002946C7" w:rsidRPr="00C557A1" w:rsidRDefault="002946C7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C557A1" w14:paraId="35FAC183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BCD6161" w14:textId="77777777" w:rsidR="0044015A" w:rsidRPr="00C557A1" w:rsidRDefault="0044015A">
            <w:pPr>
              <w:pStyle w:val="ECVLeftHeading"/>
              <w:rPr>
                <w:caps w:val="0"/>
                <w:color w:val="auto"/>
              </w:rPr>
            </w:pPr>
          </w:p>
          <w:p w14:paraId="4CF8B18F" w14:textId="32F470D8" w:rsidR="0044015A" w:rsidRDefault="0044015A">
            <w:pPr>
              <w:pStyle w:val="ECVLeftHeading"/>
              <w:rPr>
                <w:caps w:val="0"/>
                <w:color w:val="auto"/>
              </w:rPr>
            </w:pPr>
          </w:p>
          <w:p w14:paraId="6699E203" w14:textId="77777777" w:rsidR="00797950" w:rsidRDefault="00797950">
            <w:pPr>
              <w:pStyle w:val="ECVLeftHeading"/>
              <w:rPr>
                <w:caps w:val="0"/>
                <w:color w:val="auto"/>
              </w:rPr>
            </w:pPr>
          </w:p>
          <w:p w14:paraId="45C4769F" w14:textId="77777777" w:rsidR="00797950" w:rsidRPr="00C557A1" w:rsidRDefault="00797950">
            <w:pPr>
              <w:pStyle w:val="ECVLeftHeading"/>
              <w:rPr>
                <w:caps w:val="0"/>
                <w:color w:val="auto"/>
              </w:rPr>
            </w:pPr>
          </w:p>
          <w:p w14:paraId="7BC0A126" w14:textId="77777777" w:rsidR="002946C7" w:rsidRPr="00C557A1" w:rsidRDefault="002946C7">
            <w:pPr>
              <w:pStyle w:val="ECVLeftHeading"/>
              <w:rPr>
                <w:color w:val="auto"/>
              </w:rPr>
            </w:pPr>
            <w:r w:rsidRPr="00C557A1">
              <w:rPr>
                <w:caps w:val="0"/>
                <w:color w:val="auto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F325B8" w14:textId="77777777" w:rsidR="002946C7" w:rsidRPr="00C557A1" w:rsidRDefault="00973F2A">
            <w:pPr>
              <w:pStyle w:val="ECVBlueBox"/>
              <w:rPr>
                <w:color w:val="auto"/>
              </w:rPr>
            </w:pPr>
            <w:r w:rsidRPr="00C557A1">
              <w:rPr>
                <w:noProof/>
                <w:color w:val="auto"/>
                <w:lang w:val="ro-RO" w:eastAsia="ro-RO" w:bidi="ar-SA"/>
              </w:rPr>
              <w:drawing>
                <wp:inline distT="0" distB="0" distL="0" distR="0" wp14:anchorId="21E51CCF" wp14:editId="6D8EF1DC">
                  <wp:extent cx="4785995" cy="889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 w:rsidRPr="00C557A1">
              <w:rPr>
                <w:color w:val="auto"/>
              </w:rPr>
              <w:t xml:space="preserve"> </w:t>
            </w:r>
          </w:p>
        </w:tc>
      </w:tr>
    </w:tbl>
    <w:p w14:paraId="6FDE84DF" w14:textId="77777777" w:rsidR="002946C7" w:rsidRPr="00C557A1" w:rsidRDefault="002946C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496"/>
      </w:tblGrid>
      <w:tr w:rsidR="00C557A1" w:rsidRPr="00C557A1" w14:paraId="5A7B40B2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69C4763" w14:textId="77777777" w:rsidR="0015670F" w:rsidRPr="00C557A1" w:rsidRDefault="0015670F" w:rsidP="0015670F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Publications</w:t>
            </w:r>
            <w:r w:rsidR="00353BEF" w:rsidRPr="00C557A1">
              <w:rPr>
                <w:color w:val="auto"/>
              </w:rPr>
              <w:t xml:space="preserve"> (academic)</w:t>
            </w:r>
          </w:p>
        </w:tc>
        <w:tc>
          <w:tcPr>
            <w:tcW w:w="7496" w:type="dxa"/>
            <w:shd w:val="clear" w:color="auto" w:fill="auto"/>
          </w:tcPr>
          <w:p w14:paraId="746B7BDA" w14:textId="77777777" w:rsidR="0015670F" w:rsidRPr="00C557A1" w:rsidRDefault="0015670F" w:rsidP="005C7A37">
            <w:pPr>
              <w:pStyle w:val="NoSpacing"/>
              <w:ind w:left="567" w:hanging="567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C557A1" w:rsidRPr="00C557A1" w14:paraId="7369116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66F3536" w14:textId="011C0FE6" w:rsidR="00621C6D" w:rsidRPr="00C557A1" w:rsidRDefault="00621C6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bookmarkStart w:id="0" w:name="_Hlk51102466"/>
            <w:r w:rsidRPr="00C557A1">
              <w:rPr>
                <w:rFonts w:cs="Arial"/>
                <w:color w:val="auto"/>
                <w:szCs w:val="18"/>
                <w:lang w:val="en-US"/>
              </w:rPr>
              <w:t>2020</w:t>
            </w:r>
          </w:p>
          <w:p w14:paraId="35F1AE17" w14:textId="77777777" w:rsidR="00BB36B2" w:rsidRPr="00C557A1" w:rsidRDefault="00BB36B2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</w:p>
          <w:p w14:paraId="719CF694" w14:textId="77777777" w:rsidR="00BB36B2" w:rsidRPr="00C557A1" w:rsidRDefault="00BB36B2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</w:p>
          <w:p w14:paraId="456DD916" w14:textId="13B06846" w:rsidR="00353BEF" w:rsidRPr="00C557A1" w:rsidRDefault="00353BE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2020</w:t>
            </w:r>
          </w:p>
          <w:p w14:paraId="222DF477" w14:textId="4EADED48" w:rsidR="00353BEF" w:rsidRPr="00C557A1" w:rsidRDefault="00353BE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</w:p>
          <w:p w14:paraId="20C73DCE" w14:textId="77777777" w:rsidR="005C23E0" w:rsidRPr="00C557A1" w:rsidRDefault="005C23E0">
            <w:pPr>
              <w:pStyle w:val="ECVLeftDetails"/>
              <w:rPr>
                <w:rFonts w:cs="Arial"/>
                <w:color w:val="auto"/>
                <w:sz w:val="12"/>
                <w:szCs w:val="12"/>
                <w:lang w:val="en-US"/>
              </w:rPr>
            </w:pPr>
          </w:p>
          <w:p w14:paraId="58083A0B" w14:textId="457BAA74" w:rsidR="00DC534B" w:rsidRPr="00C557A1" w:rsidRDefault="00DC534B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2020</w:t>
            </w:r>
          </w:p>
          <w:p w14:paraId="3446FB49" w14:textId="77777777" w:rsidR="00A60631" w:rsidRPr="00C557A1" w:rsidRDefault="00A60631">
            <w:pPr>
              <w:pStyle w:val="ECVLeftDetails"/>
              <w:rPr>
                <w:rFonts w:cs="Arial"/>
                <w:color w:val="auto"/>
                <w:sz w:val="10"/>
                <w:szCs w:val="10"/>
                <w:lang w:val="en-US"/>
              </w:rPr>
            </w:pPr>
          </w:p>
          <w:p w14:paraId="2854BEC8" w14:textId="77777777" w:rsidR="0015670F" w:rsidRPr="00C557A1" w:rsidRDefault="0015670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2019</w:t>
            </w:r>
          </w:p>
          <w:p w14:paraId="635CB6BC" w14:textId="77777777" w:rsidR="00912128" w:rsidRPr="00C557A1" w:rsidRDefault="00912128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</w:p>
          <w:p w14:paraId="0E41E887" w14:textId="38AD171E" w:rsidR="00A60631" w:rsidRPr="00C557A1" w:rsidRDefault="00A60631">
            <w:pPr>
              <w:pStyle w:val="ECVLeftDetails"/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32576446" w14:textId="37E7735D" w:rsidR="00BE6227" w:rsidRPr="00C557A1" w:rsidRDefault="00621C6D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</w:t>
            </w:r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Sf</w:t>
            </w:r>
            <w:r w:rsidR="00A82646">
              <w:rPr>
                <w:rFonts w:cs="Times New Roman"/>
                <w:color w:val="auto"/>
                <w:sz w:val="18"/>
                <w:szCs w:val="18"/>
                <w:lang w:val="ro-RO"/>
              </w:rPr>
              <w:t>â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rsitul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lumii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82646">
              <w:rPr>
                <w:rFonts w:cs="Times New Roman"/>
                <w:color w:val="auto"/>
                <w:sz w:val="18"/>
                <w:szCs w:val="18"/>
                <w:lang w:val="en-US"/>
              </w:rPr>
              <w:t>ș</w:t>
            </w:r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i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demnitatea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uman</w:t>
            </w:r>
            <w:r w:rsidR="00A82646">
              <w:rPr>
                <w:rFonts w:cs="Times New Roman"/>
                <w:color w:val="auto"/>
                <w:sz w:val="18"/>
                <w:szCs w:val="18"/>
                <w:lang w:val="en-US"/>
              </w:rPr>
              <w:t>ă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82646">
              <w:rPr>
                <w:rFonts w:cs="Times New Roman"/>
                <w:color w:val="auto"/>
                <w:sz w:val="18"/>
                <w:szCs w:val="18"/>
                <w:lang w:val="en-US"/>
              </w:rPr>
              <w:t>î</w:t>
            </w:r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n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contextul</w:t>
            </w:r>
            <w:proofErr w:type="spellEnd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coronavirusului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.” </w:t>
            </w:r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(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“The End of the World and Human Dignity in the Context of the Coronavirus.”</w:t>
            </w:r>
            <w:r w:rsidR="00BE6227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)</w:t>
            </w:r>
            <w:r w:rsidR="00A82646">
              <w:rPr>
                <w:rFonts w:cs="Times New Roman"/>
                <w:color w:val="auto"/>
                <w:sz w:val="18"/>
                <w:szCs w:val="18"/>
                <w:lang w:val="en-US"/>
              </w:rPr>
              <w:t>.</w:t>
            </w:r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 Jurnalul Libertății de Conștiință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vol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="00551F20">
              <w:rPr>
                <w:color w:val="auto"/>
                <w:sz w:val="18"/>
                <w:szCs w:val="18"/>
                <w:lang w:val="ro-RO" w:eastAsia="ro-RO"/>
              </w:rPr>
              <w:t>8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no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="000E5E12">
              <w:rPr>
                <w:color w:val="auto"/>
                <w:sz w:val="18"/>
                <w:szCs w:val="18"/>
                <w:lang w:val="ro-RO" w:eastAsia="ro-RO"/>
              </w:rPr>
              <w:t>1</w:t>
            </w:r>
            <w:r w:rsidRPr="00C557A1">
              <w:rPr>
                <w:color w:val="auto"/>
                <w:sz w:val="18"/>
                <w:szCs w:val="18"/>
                <w:lang w:val="en-US" w:eastAsia="ro-RO"/>
              </w:rPr>
              <w:t xml:space="preserve">. </w:t>
            </w:r>
            <w:r w:rsidR="000E5E12">
              <w:rPr>
                <w:color w:val="auto"/>
                <w:sz w:val="18"/>
                <w:szCs w:val="18"/>
                <w:lang w:val="en-US" w:eastAsia="ro-RO"/>
              </w:rPr>
              <w:t>217-225</w:t>
            </w:r>
            <w:r w:rsidRPr="00C557A1">
              <w:rPr>
                <w:color w:val="auto"/>
                <w:sz w:val="18"/>
                <w:szCs w:val="18"/>
                <w:lang w:val="en-US" w:eastAsia="ro-RO"/>
              </w:rPr>
              <w:t xml:space="preserve">.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Les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Arcs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: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Editions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IARSIC, 2020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.</w:t>
            </w:r>
          </w:p>
          <w:p w14:paraId="1182473B" w14:textId="46CC9AB1" w:rsidR="00353BEF" w:rsidRPr="00C557A1" w:rsidRDefault="00353BEF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“‘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Vremea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este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aproape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’: re-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evaluarea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limbajului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nou-testamentar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referire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apropierea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Parusiei.” 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(“‘The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T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ime is at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H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and’: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R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e-evaluation of NT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L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anguage </w:t>
            </w:r>
            <w:proofErr w:type="gramStart"/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W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ith</w:t>
            </w:r>
            <w:proofErr w:type="gramEnd"/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R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eference to the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N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earness of the Parousia”)</w:t>
            </w:r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 Vol. 15, No. 1 (2020): 23-56.</w:t>
            </w:r>
          </w:p>
          <w:p w14:paraId="4DF36126" w14:textId="40996D58" w:rsidR="00DC534B" w:rsidRPr="00C557A1" w:rsidRDefault="00DC534B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“Care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sf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ârșit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este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sfârșitul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?</w:t>
            </w: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”</w:t>
            </w:r>
            <w:r w:rsidR="00005109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(“What </w:t>
            </w:r>
            <w:r w:rsidR="005C23E0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</w:t>
            </w:r>
            <w:r w:rsidR="00005109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nd is the </w:t>
            </w:r>
            <w:r w:rsidR="005C23E0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E</w:t>
            </w:r>
            <w:r w:rsidR="00005109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nd?”)</w:t>
            </w:r>
            <w:r w:rsidR="005C23E0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.</w:t>
            </w: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5C23E0"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I</w:t>
            </w: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n </w:t>
            </w:r>
            <w:proofErr w:type="spellStart"/>
            <w:r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>În</w:t>
            </w:r>
            <w:proofErr w:type="spellEnd"/>
            <w:r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>vremea</w:t>
            </w:r>
            <w:proofErr w:type="spellEnd"/>
            <w:r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>distanțării</w:t>
            </w:r>
            <w:proofErr w:type="spellEnd"/>
            <w:r w:rsidR="00005109"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005109" w:rsidRPr="00C557A1">
              <w:rPr>
                <w:rFonts w:cs="Arial"/>
                <w:color w:val="auto"/>
                <w:sz w:val="18"/>
                <w:szCs w:val="18"/>
              </w:rPr>
              <w:t>(</w:t>
            </w:r>
            <w:r w:rsidR="00005109"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 xml:space="preserve">In </w:t>
            </w:r>
            <w:r w:rsidR="005C23E0"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>T</w:t>
            </w:r>
            <w:r w:rsidR="00005109" w:rsidRPr="00C557A1">
              <w:rPr>
                <w:rFonts w:cs="Arial"/>
                <w:i/>
                <w:iCs/>
                <w:color w:val="auto"/>
                <w:sz w:val="18"/>
                <w:szCs w:val="18"/>
              </w:rPr>
              <w:t>imes of Distancing</w:t>
            </w:r>
            <w:r w:rsidR="00005109" w:rsidRPr="00C557A1">
              <w:rPr>
                <w:rFonts w:cs="Arial"/>
                <w:color w:val="auto"/>
                <w:sz w:val="18"/>
                <w:szCs w:val="18"/>
              </w:rPr>
              <w:t>)</w:t>
            </w: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, ed. Norel Iacob (Pantelimon: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Viață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și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Sănătate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, 2020), 155-162.</w:t>
            </w:r>
          </w:p>
          <w:p w14:paraId="51220AD6" w14:textId="03821692" w:rsidR="00A60631" w:rsidRPr="00C557A1" w:rsidRDefault="00A60631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“Shortness of Time and being Married as if You are not</w:t>
            </w:r>
            <w:r w:rsidR="00A82646">
              <w:rPr>
                <w:rFonts w:cs="Times New Roman"/>
                <w:color w:val="auto"/>
                <w:sz w:val="18"/>
                <w:szCs w:val="18"/>
                <w:lang w:val="en-US"/>
              </w:rPr>
              <w:t>.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val="en-US"/>
              </w:rPr>
              <w:t>DavarLogos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>, vol. 18 Issue 2 (2019): 31-50.</w:t>
            </w:r>
          </w:p>
          <w:p w14:paraId="0CE2C9EC" w14:textId="274304F6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Timpul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Parusiei 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în învățăturile lui Isus Hristos (Partea a II-a).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”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(“Time of the Parousia in the Teachings of Jesus Christ [Part II]”)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 Vol. 14, No. 2 (2019): 5-46.</w:t>
            </w:r>
          </w:p>
        </w:tc>
      </w:tr>
      <w:tr w:rsidR="00C557A1" w:rsidRPr="00C557A1" w14:paraId="34088D6C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0CDEF91" w14:textId="77777777" w:rsidR="0015670F" w:rsidRPr="00C557A1" w:rsidRDefault="0015670F">
            <w:pPr>
              <w:pStyle w:val="ECVLeftDetails"/>
              <w:rPr>
                <w:color w:val="auto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176C626C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Christian Freedom and Its Boundaries in 1 Corinthians 6:12 and 10:23.” </w:t>
            </w:r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>Jurnalul Libertății de Conștiință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vol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7,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no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2</w:t>
            </w:r>
            <w:r w:rsidRPr="00C557A1">
              <w:rPr>
                <w:color w:val="auto"/>
                <w:sz w:val="18"/>
                <w:szCs w:val="18"/>
                <w:lang w:val="en-US" w:eastAsia="ro-RO"/>
              </w:rPr>
              <w:t xml:space="preserve">. 427-436.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Les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Arcs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: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Editions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IARSIC, 2019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</w:tr>
      <w:tr w:rsidR="00C557A1" w:rsidRPr="00C557A1" w14:paraId="2D41B860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72626F3" w14:textId="77777777" w:rsidR="0015670F" w:rsidRPr="00C557A1" w:rsidRDefault="0015670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1DB11364" w14:textId="50C732EF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Timpul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Parusiei 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în învățăturile lui Isus Hristos (Partea I).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”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(“Time of the Parousia in the Teachings of Jesus Christ [Part I]”)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 Vol. 14, No. 1 (2019): 41-60.</w:t>
            </w:r>
          </w:p>
        </w:tc>
      </w:tr>
      <w:tr w:rsidR="00C557A1" w:rsidRPr="00C557A1" w14:paraId="2F9C7877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D4AF492" w14:textId="77777777" w:rsidR="0015670F" w:rsidRPr="00C557A1" w:rsidRDefault="0015670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4F9559A2" w14:textId="5EF542EC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When </w:t>
            </w:r>
            <w:r w:rsidR="005C23E0" w:rsidRPr="00C557A1">
              <w:rPr>
                <w:rFonts w:cs="Arial"/>
                <w:color w:val="auto"/>
                <w:sz w:val="18"/>
                <w:szCs w:val="18"/>
              </w:rPr>
              <w:t>H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apax </w:t>
            </w:r>
            <w:r w:rsidR="005C23E0" w:rsidRPr="00C557A1">
              <w:rPr>
                <w:rFonts w:cs="Arial"/>
                <w:color w:val="auto"/>
                <w:sz w:val="18"/>
                <w:szCs w:val="18"/>
              </w:rPr>
              <w:t>L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egomena in the New Testament </w:t>
            </w:r>
            <w:r w:rsidR="005C23E0" w:rsidRPr="00C557A1">
              <w:rPr>
                <w:rFonts w:cs="Arial"/>
                <w:color w:val="auto"/>
                <w:sz w:val="18"/>
                <w:szCs w:val="18"/>
              </w:rPr>
              <w:t>a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re </w:t>
            </w:r>
            <w:r w:rsidR="005C23E0" w:rsidRPr="00C557A1">
              <w:rPr>
                <w:rFonts w:cs="Arial"/>
                <w:color w:val="auto"/>
                <w:sz w:val="18"/>
                <w:szCs w:val="18"/>
              </w:rPr>
              <w:t>E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xegetically </w:t>
            </w:r>
            <w:r w:rsidR="005C23E0" w:rsidRPr="00C557A1">
              <w:rPr>
                <w:rFonts w:cs="Arial"/>
                <w:color w:val="auto"/>
                <w:sz w:val="18"/>
                <w:szCs w:val="18"/>
              </w:rPr>
              <w:t>I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mportant</w:t>
            </w:r>
            <w:r w:rsidR="0048194F">
              <w:rPr>
                <w:rFonts w:cs="Arial"/>
                <w:color w:val="auto"/>
                <w:sz w:val="18"/>
                <w:szCs w:val="18"/>
              </w:rPr>
              <w:t>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” </w:t>
            </w:r>
            <w:r w:rsidR="0048194F">
              <w:rPr>
                <w:rFonts w:cs="Arial"/>
                <w:color w:val="auto"/>
                <w:sz w:val="18"/>
                <w:szCs w:val="18"/>
              </w:rPr>
              <w:t>I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n 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Studies in Biblical Philology and Lexicography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, </w:t>
            </w:r>
            <w:hyperlink r:id="rId16" w:history="1">
              <w:r w:rsidRPr="00C557A1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u w:val="none"/>
                </w:rPr>
                <w:t>Perspectives on Linguistics and Ancient Languages</w:t>
              </w:r>
            </w:hyperlink>
            <w:r w:rsidRPr="00C557A1">
              <w:rPr>
                <w:rStyle w:val="value"/>
                <w:rFonts w:cs="Arial"/>
                <w:bCs/>
                <w:color w:val="auto"/>
                <w:sz w:val="18"/>
                <w:szCs w:val="18"/>
              </w:rPr>
              <w:t xml:space="preserve"> 11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, ed. Daniel King. 233-254.</w:t>
            </w:r>
            <w:r w:rsidRPr="00C557A1">
              <w:rPr>
                <w:color w:val="auto"/>
              </w:rPr>
              <w:t xml:space="preserve"> </w:t>
            </w:r>
            <w:hyperlink r:id="rId17" w:history="1">
              <w:r w:rsidRPr="00C557A1">
                <w:rPr>
                  <w:rStyle w:val="Hyperlink"/>
                  <w:rFonts w:cs="Arial"/>
                  <w:color w:val="auto"/>
                  <w:sz w:val="18"/>
                  <w:szCs w:val="18"/>
                  <w:u w:val="none"/>
                </w:rPr>
                <w:t>Piscataway, NJ:</w:t>
              </w:r>
            </w:hyperlink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Gorgias Press, 2019.</w:t>
            </w:r>
          </w:p>
        </w:tc>
      </w:tr>
      <w:tr w:rsidR="00C557A1" w:rsidRPr="00C557A1" w14:paraId="4718678F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0C63431" w14:textId="77777777" w:rsidR="0015670F" w:rsidRPr="00C557A1" w:rsidRDefault="0015670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6ECCEFCC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“‘The Time is at Hand’: Revisiting the New Testament Language of ‘Nearness’ in Reference to the Second Coming of Jesus.” </w:t>
            </w:r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Receptarea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Sfintei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Scripturi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 între filologie, hermeneutică și traductologie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VIII. 245-270. Iași: Editura Universității Alexandru Ioan Cuza, 2019.</w:t>
            </w:r>
          </w:p>
        </w:tc>
      </w:tr>
      <w:tr w:rsidR="00C557A1" w:rsidRPr="00C557A1" w14:paraId="5AF58623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E49BBEF" w14:textId="77777777" w:rsidR="0015670F" w:rsidRPr="00C557A1" w:rsidRDefault="0015670F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Cs w:val="18"/>
                <w:lang w:val="ro-RO"/>
              </w:rPr>
              <w:t>2018</w:t>
            </w:r>
          </w:p>
        </w:tc>
        <w:tc>
          <w:tcPr>
            <w:tcW w:w="7496" w:type="dxa"/>
            <w:shd w:val="clear" w:color="auto" w:fill="auto"/>
          </w:tcPr>
          <w:p w14:paraId="3DBB7147" w14:textId="2933DC72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“Tema 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nou-testamentară </w:t>
            </w:r>
            <w:proofErr w:type="gramStart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a</w:t>
            </w:r>
            <w:proofErr w:type="gramEnd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apropierii și întârzierii Parusiei în gândirea creștină a secolelor 17-19.”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(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“The NT Theme of Nearness and Delay of the Parousia in the Christian Thinking”</w:t>
            </w:r>
            <w:r w:rsidR="00005109"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)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</w:t>
            </w:r>
            <w:r w:rsidRPr="00C557A1">
              <w:rPr>
                <w:rFonts w:cs="Times New Roman"/>
                <w:i/>
                <w:color w:val="aut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7A1">
              <w:rPr>
                <w:rFonts w:cs="Times New Roman"/>
                <w:i/>
                <w:color w:val="auto"/>
                <w:sz w:val="18"/>
                <w:szCs w:val="18"/>
                <w:lang w:val="ro-RO"/>
              </w:rPr>
              <w:t>Theorhēma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. Vol. 13, No. 2 (2018): 39-70.</w:t>
            </w:r>
          </w:p>
        </w:tc>
      </w:tr>
      <w:tr w:rsidR="00C557A1" w:rsidRPr="00C557A1" w14:paraId="06EAB49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827C249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ro-RO" w:eastAsia="ro-RO"/>
              </w:rPr>
              <w:t>2018</w:t>
            </w:r>
          </w:p>
        </w:tc>
        <w:tc>
          <w:tcPr>
            <w:tcW w:w="7496" w:type="dxa"/>
            <w:shd w:val="clear" w:color="auto" w:fill="auto"/>
          </w:tcPr>
          <w:p w14:paraId="48552EA1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“Apocalyptic Hysteria and the Freedom of Speech.” </w:t>
            </w:r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>Jurnalul Libertății de Conștiință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.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Vol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6,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no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2</w:t>
            </w:r>
            <w:r w:rsidRPr="00C557A1">
              <w:rPr>
                <w:color w:val="auto"/>
                <w:sz w:val="18"/>
                <w:szCs w:val="18"/>
                <w:lang w:val="en-US" w:eastAsia="ro-RO"/>
              </w:rPr>
              <w:t xml:space="preserve">. 320-336.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Les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Arcs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: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Editions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IARSIC, 2018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</w:tr>
      <w:tr w:rsidR="00C557A1" w:rsidRPr="00C557A1" w14:paraId="53BE28F3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51F30D0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ro-RO" w:eastAsia="ro-RO"/>
              </w:rPr>
              <w:t>2018</w:t>
            </w:r>
          </w:p>
        </w:tc>
        <w:tc>
          <w:tcPr>
            <w:tcW w:w="7496" w:type="dxa"/>
            <w:shd w:val="clear" w:color="auto" w:fill="auto"/>
          </w:tcPr>
          <w:p w14:paraId="48A09698" w14:textId="2E85DE11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ro-RO"/>
              </w:rPr>
            </w:pP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“Tema nou-testamentară a apropierii și întârzierii </w:t>
            </w:r>
            <w:proofErr w:type="spellStart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parusiei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în Evul Mediu.”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((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“The NT Theme of Nearness and Delay of the Parousia in Middle Ages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)</w:t>
            </w:r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C557A1">
              <w:rPr>
                <w:rFonts w:cs="Times New Roman"/>
                <w:i/>
                <w:color w:val="auto"/>
                <w:sz w:val="18"/>
                <w:szCs w:val="18"/>
                <w:lang w:val="ro-RO"/>
              </w:rPr>
              <w:t>Theorhēma</w:t>
            </w:r>
            <w:proofErr w:type="spellEnd"/>
            <w:r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. Vol. 13, No. 1 (2018): 25-54.</w:t>
            </w:r>
          </w:p>
        </w:tc>
      </w:tr>
      <w:tr w:rsidR="00C557A1" w:rsidRPr="00C557A1" w14:paraId="01DDE9A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135C30D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ro-RO" w:eastAsia="ro-RO"/>
              </w:rPr>
              <w:t>2018</w:t>
            </w:r>
          </w:p>
        </w:tc>
        <w:tc>
          <w:tcPr>
            <w:tcW w:w="7496" w:type="dxa"/>
            <w:shd w:val="clear" w:color="auto" w:fill="auto"/>
          </w:tcPr>
          <w:p w14:paraId="46889C38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eastAsia="ro-RO"/>
              </w:rPr>
              <w:t xml:space="preserve">“‘You Will See the Son of Man Coming’: The Sanhedrin and the Nearness of the Parousia.”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Receptarea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Sfintei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eastAsia="ro-RO"/>
              </w:rPr>
              <w:t>Scripturi</w:t>
            </w:r>
            <w:proofErr w:type="spellEnd"/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 între filologie, hermeneutică și traductologie</w:t>
            </w:r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VII. 173-184. Iași: Editura Universității Alexandru Ioan Cuza, 2018.</w:t>
            </w:r>
          </w:p>
        </w:tc>
      </w:tr>
      <w:tr w:rsidR="00C557A1" w:rsidRPr="00C557A1" w14:paraId="601E6C1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3959BFA7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431A398B" w14:textId="5DF0C07B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fr-FR" w:eastAsia="ro-RO"/>
              </w:rPr>
              <w:t xml:space="preserve">“Tema </w:t>
            </w:r>
            <w:proofErr w:type="spellStart"/>
            <w:r w:rsidRPr="00C557A1">
              <w:rPr>
                <w:color w:val="auto"/>
                <w:sz w:val="18"/>
                <w:szCs w:val="18"/>
                <w:lang w:val="fr-FR" w:eastAsia="ro-RO"/>
              </w:rPr>
              <w:t>nou-testamentar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ă a apropierii și întârzierii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parusiei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în gândirea Reformei Protestante.</w:t>
            </w:r>
            <w:r w:rsidRPr="00C557A1">
              <w:rPr>
                <w:color w:val="auto"/>
                <w:sz w:val="18"/>
                <w:szCs w:val="18"/>
                <w:lang w:val="fr-FR" w:eastAsia="ro-RO"/>
              </w:rPr>
              <w:t xml:space="preserve">” 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ro-RO"/>
              </w:rPr>
              <w:t>(</w:t>
            </w:r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“The NT Theme of Nearness and Delay of the Parousia in Reformation </w:t>
            </w:r>
            <w:proofErr w:type="spellStart"/>
            <w:r w:rsidR="005C23E0" w:rsidRPr="00C557A1">
              <w:rPr>
                <w:rFonts w:cs="Times New Roman"/>
                <w:color w:val="auto"/>
                <w:sz w:val="18"/>
                <w:szCs w:val="18"/>
                <w:lang w:val="en-US"/>
              </w:rPr>
              <w:t>Throught</w:t>
            </w:r>
            <w:proofErr w:type="spellEnd"/>
            <w:r w:rsidR="005C23E0" w:rsidRPr="00C557A1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5C23E0" w:rsidRPr="00C557A1">
              <w:rPr>
                <w:color w:val="auto"/>
                <w:sz w:val="18"/>
                <w:szCs w:val="18"/>
                <w:lang w:val="fr-FR" w:eastAsia="ro-RO"/>
              </w:rPr>
              <w:t xml:space="preserve">)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 Vol. 12, No. 2 (2017): 19-44.</w:t>
            </w:r>
          </w:p>
        </w:tc>
      </w:tr>
      <w:tr w:rsidR="00C557A1" w:rsidRPr="00C557A1" w14:paraId="5E230401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A25FCC9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6E5F6E9A" w14:textId="77777777" w:rsidR="0015670F" w:rsidRPr="00C557A1" w:rsidRDefault="0015670F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eastAsia="ro-RO"/>
              </w:rPr>
              <w:t xml:space="preserve">“Freedom, Gender, and Worship in Corinth.” </w:t>
            </w:r>
            <w:r w:rsidRPr="00C557A1">
              <w:rPr>
                <w:i/>
                <w:color w:val="auto"/>
                <w:sz w:val="18"/>
                <w:szCs w:val="18"/>
                <w:lang w:val="ro-RO" w:eastAsia="ro-RO"/>
              </w:rPr>
              <w:t>Jurnalul Libertății de Conștiință</w:t>
            </w:r>
            <w:r w:rsidRPr="00C557A1">
              <w:rPr>
                <w:color w:val="auto"/>
                <w:sz w:val="18"/>
                <w:szCs w:val="18"/>
                <w:lang w:val="en-US" w:eastAsia="ro-RO"/>
              </w:rPr>
              <w:t xml:space="preserve">. Vol. 5. 623-638.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Les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Arcs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: 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 w:eastAsia="ro-RO"/>
              </w:rPr>
              <w:t>Editions</w:t>
            </w:r>
            <w:proofErr w:type="spellEnd"/>
            <w:r w:rsidRPr="00C557A1">
              <w:rPr>
                <w:color w:val="auto"/>
                <w:sz w:val="18"/>
                <w:szCs w:val="18"/>
                <w:lang w:val="ro-RO" w:eastAsia="ro-RO"/>
              </w:rPr>
              <w:t xml:space="preserve"> IARSIC, 2017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</w:tr>
      <w:tr w:rsidR="00C557A1" w:rsidRPr="00C557A1" w14:paraId="11F0D79C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05D7029" w14:textId="2CB44288" w:rsidR="0015670F" w:rsidRPr="00C557A1" w:rsidRDefault="005C23E0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1BA4878C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</w:t>
            </w:r>
            <w:r w:rsidRPr="00C557A1">
              <w:rPr>
                <w:color w:val="auto"/>
                <w:sz w:val="18"/>
                <w:szCs w:val="18"/>
              </w:rPr>
              <w:t xml:space="preserve">The Remnant of Revelation 11:13 – A Quantitative Aspect,”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12, No. 1 (2017): 5-14</w:t>
            </w:r>
          </w:p>
        </w:tc>
      </w:tr>
      <w:tr w:rsidR="00C557A1" w:rsidRPr="00C557A1" w14:paraId="73CC0734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5F8C440D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231B9266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i/>
                <w:color w:val="auto"/>
                <w:sz w:val="18"/>
                <w:szCs w:val="18"/>
                <w:lang w:bidi="ar-SA"/>
              </w:rPr>
              <w:t>Angels and Beasts: The Relationship Between the Four Living Creatures and the Four Riders in Rev 6:1-8</w:t>
            </w:r>
            <w:r w:rsidRPr="00C557A1">
              <w:rPr>
                <w:color w:val="auto"/>
                <w:sz w:val="18"/>
                <w:szCs w:val="18"/>
                <w:lang w:bidi="ar-SA"/>
              </w:rPr>
              <w:t xml:space="preserve">. Eugene, OR: </w:t>
            </w:r>
            <w:proofErr w:type="spellStart"/>
            <w:r w:rsidRPr="00C557A1">
              <w:rPr>
                <w:color w:val="auto"/>
                <w:sz w:val="18"/>
                <w:szCs w:val="18"/>
                <w:lang w:bidi="ar-SA"/>
              </w:rPr>
              <w:t>Wipf&amp;Stock</w:t>
            </w:r>
            <w:proofErr w:type="spellEnd"/>
            <w:r w:rsidRPr="00C557A1">
              <w:rPr>
                <w:color w:val="auto"/>
                <w:sz w:val="18"/>
                <w:szCs w:val="18"/>
                <w:lang w:bidi="ar-SA"/>
              </w:rPr>
              <w:t>, 2017.</w:t>
            </w:r>
          </w:p>
        </w:tc>
      </w:tr>
      <w:tr w:rsidR="00C557A1" w:rsidRPr="00C557A1" w14:paraId="5E0D4E06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53D3FE9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49C9CEBF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“Reviving the Teaching of Dead Languages: The Case of Greek in Modern Christian Education,” </w:t>
            </w:r>
            <w:proofErr w:type="spellStart"/>
            <w:r w:rsidRPr="00C557A1">
              <w:rPr>
                <w:i/>
                <w:color w:val="auto"/>
                <w:sz w:val="18"/>
                <w:szCs w:val="18"/>
                <w:lang w:val="en-US"/>
              </w:rPr>
              <w:t>DavarLogos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>, vol. 16 Issue 1 (2017): 61-83.</w:t>
            </w:r>
          </w:p>
        </w:tc>
      </w:tr>
      <w:tr w:rsidR="00C557A1" w:rsidRPr="00C557A1" w14:paraId="625E147D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3F7737D0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  <w:lang w:val="en-US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5BA4F529" w14:textId="77777777" w:rsidR="0015670F" w:rsidRPr="00C557A1" w:rsidRDefault="0015670F" w:rsidP="00581ADA">
            <w:pPr>
              <w:pStyle w:val="NoSpacing"/>
              <w:ind w:left="36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“Semitic Influence in the Use of New Testament Greek Prepositions: The Case of the Book of Revelation,” </w:t>
            </w:r>
            <w:r w:rsidRPr="00C557A1">
              <w:rPr>
                <w:i/>
                <w:color w:val="auto"/>
                <w:sz w:val="18"/>
                <w:szCs w:val="18"/>
                <w:lang w:val="en-US"/>
              </w:rPr>
              <w:t>Biblical and Ancient Greek Linguistics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, vol. 6 (2017): 44-66.</w:t>
            </w:r>
          </w:p>
        </w:tc>
      </w:tr>
      <w:tr w:rsidR="00C557A1" w:rsidRPr="00C557A1" w14:paraId="5B54E270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E44DD25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42E4B732" w14:textId="41E900DC" w:rsidR="0015670F" w:rsidRPr="00C557A1" w:rsidRDefault="0015670F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Apropierea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și întârzierea Parusiei la părinții ante- și post-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niceeni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– partea II.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(“Nearness and Delay of the Parousia in the Writings of ante- and post-Nicene Fathers – Part II”)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12, No. 2 (2016).</w:t>
            </w:r>
          </w:p>
        </w:tc>
      </w:tr>
      <w:tr w:rsidR="00C557A1" w:rsidRPr="00C557A1" w14:paraId="00E9AC65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27FC464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5A9E2B22" w14:textId="77777777" w:rsidR="0015670F" w:rsidRPr="00C557A1" w:rsidRDefault="0015670F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“The Measurement Motif in Rev 11:1-2.” In </w:t>
            </w:r>
            <w:r w:rsidRPr="00C557A1">
              <w:rPr>
                <w:rFonts w:cs="Arial"/>
                <w:i/>
                <w:color w:val="auto"/>
                <w:sz w:val="18"/>
                <w:szCs w:val="18"/>
                <w:lang w:val="en-US"/>
              </w:rPr>
              <w:t>Earthly Shadows, Heavenly Realities: Temple/Sanctuary Cosmology in Ancient Near Eastern, Biblical, and early Jewish Literature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, ed. Kim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Papaiounnou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and Ioannis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Giantzaclidis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 Berrien Springs, MI: Andrews University Press, 2016.</w:t>
            </w:r>
          </w:p>
        </w:tc>
      </w:tr>
      <w:tr w:rsidR="00C557A1" w:rsidRPr="00C557A1" w14:paraId="78C41EA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F874788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23CFDFA9" w14:textId="6E2B707B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Pledoarie pentru utopie.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(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Plea</w:t>
            </w:r>
            <w:proofErr w:type="spellEnd"/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for Utopia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)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>Jurnalul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>Libertății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>Conștiință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. 498-506. Les </w:t>
            </w:r>
            <w:proofErr w:type="gram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Arcs:</w:t>
            </w:r>
            <w:proofErr w:type="gram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Editions IARSIC, 2016.</w:t>
            </w:r>
          </w:p>
        </w:tc>
      </w:tr>
      <w:tr w:rsidR="00C557A1" w:rsidRPr="00C557A1" w14:paraId="43BF052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6D92DCC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24BEB8AA" w14:textId="443CE30A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Apropierea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și întârzierea Parusiei la părinții ante- și post-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niceeni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– partea I.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(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“Nearness and Delay of the Parousia in the Writings of ante- and post-Nicene Fathers – Part II”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)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11, No. 1 (2016): 57-74.</w:t>
            </w:r>
          </w:p>
        </w:tc>
      </w:tr>
      <w:tr w:rsidR="00C557A1" w:rsidRPr="00C557A1" w14:paraId="0226E593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235C09A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2015</w:t>
            </w:r>
          </w:p>
        </w:tc>
        <w:tc>
          <w:tcPr>
            <w:tcW w:w="7496" w:type="dxa"/>
            <w:shd w:val="clear" w:color="auto" w:fill="auto"/>
          </w:tcPr>
          <w:p w14:paraId="332A8B18" w14:textId="77777777" w:rsidR="0015670F" w:rsidRPr="00C557A1" w:rsidRDefault="00E30EE6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Morphological and Syntactical Irregularities in the Book of Revelation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. Linguistic Biblical Studies 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11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. Leiden, Brill: 2015.</w:t>
            </w:r>
          </w:p>
        </w:tc>
      </w:tr>
      <w:tr w:rsidR="00C557A1" w:rsidRPr="00C557A1" w14:paraId="0AD2A1F5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365BC88" w14:textId="558CF1E5" w:rsidR="009D4641" w:rsidRPr="00C557A1" w:rsidRDefault="009D4641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rFonts w:cs="Arial"/>
                <w:color w:val="auto"/>
                <w:szCs w:val="18"/>
              </w:rPr>
              <w:lastRenderedPageBreak/>
              <w:t>2015</w:t>
            </w:r>
          </w:p>
          <w:p w14:paraId="5018FC94" w14:textId="77777777" w:rsidR="00D92543" w:rsidRPr="00C557A1" w:rsidRDefault="00D92543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  <w:p w14:paraId="2941E151" w14:textId="48A72A92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2015</w:t>
            </w:r>
          </w:p>
        </w:tc>
        <w:tc>
          <w:tcPr>
            <w:tcW w:w="7496" w:type="dxa"/>
            <w:shd w:val="clear" w:color="auto" w:fill="auto"/>
          </w:tcPr>
          <w:p w14:paraId="3AF4FFA7" w14:textId="73380E34" w:rsidR="009D4641" w:rsidRPr="00C557A1" w:rsidRDefault="00667320" w:rsidP="00B4548E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“Hastening the Parousia in the Romanian Translations of 2 Peter 3:12.” </w:t>
            </w:r>
            <w:r w:rsidR="000938BD" w:rsidRPr="00C557A1">
              <w:rPr>
                <w:i/>
                <w:iCs/>
                <w:color w:val="auto"/>
                <w:sz w:val="18"/>
                <w:szCs w:val="18"/>
                <w:lang w:val="en-US"/>
              </w:rPr>
              <w:t xml:space="preserve">Biblicum </w:t>
            </w:r>
            <w:proofErr w:type="spellStart"/>
            <w:r w:rsidR="000938BD" w:rsidRPr="00C557A1">
              <w:rPr>
                <w:i/>
                <w:iCs/>
                <w:color w:val="auto"/>
                <w:sz w:val="18"/>
                <w:szCs w:val="18"/>
                <w:lang w:val="en-US"/>
              </w:rPr>
              <w:t>Jassyense</w:t>
            </w:r>
            <w:proofErr w:type="spellEnd"/>
            <w:r w:rsidR="00B4548E" w:rsidRPr="00C557A1">
              <w:rPr>
                <w:i/>
                <w:iCs/>
                <w:color w:val="auto"/>
                <w:sz w:val="18"/>
                <w:szCs w:val="18"/>
                <w:lang w:val="en-US"/>
              </w:rPr>
              <w:t xml:space="preserve">: </w:t>
            </w:r>
            <w:r w:rsidR="00B4548E" w:rsidRPr="00C557A1">
              <w:rPr>
                <w:color w:val="auto"/>
              </w:rPr>
              <w:t xml:space="preserve"> </w:t>
            </w:r>
            <w:r w:rsidR="00B4548E" w:rsidRPr="00C557A1">
              <w:rPr>
                <w:i/>
                <w:iCs/>
                <w:color w:val="auto"/>
                <w:sz w:val="18"/>
                <w:szCs w:val="18"/>
                <w:lang w:val="en-US"/>
              </w:rPr>
              <w:t>Romanian Journal for Biblical Philology and Hermeneutics</w:t>
            </w:r>
            <w:r w:rsidR="00B4548E" w:rsidRPr="00C557A1">
              <w:rPr>
                <w:color w:val="auto"/>
                <w:sz w:val="18"/>
                <w:szCs w:val="18"/>
                <w:lang w:val="en-US"/>
              </w:rPr>
              <w:t xml:space="preserve"> 6 (2015): </w:t>
            </w:r>
            <w:r w:rsidR="007F0F79" w:rsidRPr="00C557A1">
              <w:rPr>
                <w:color w:val="auto"/>
                <w:sz w:val="18"/>
                <w:szCs w:val="18"/>
                <w:lang w:val="en-US"/>
              </w:rPr>
              <w:t>33-48</w:t>
            </w:r>
            <w:r w:rsidR="00B4548E" w:rsidRPr="00C557A1">
              <w:rPr>
                <w:color w:val="auto"/>
                <w:sz w:val="18"/>
                <w:szCs w:val="18"/>
                <w:lang w:val="en-US"/>
              </w:rPr>
              <w:t>.</w:t>
            </w:r>
          </w:p>
          <w:p w14:paraId="5F6D9AA5" w14:textId="3F870C70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Abuzurile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unei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expresii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nou-testamentare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. ‘Ca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pentru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Domnul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’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și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obligațiile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superiorului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.” 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(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“The Abuses Based on a NT expression: ‘as for the Lord’ and the Obligations of the Superior”</w:t>
            </w:r>
            <w:r w:rsidR="005C23E0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)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Jurnalul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Libertății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Conștiință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Edited by Burcea Nelu. 529-538.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Les </w:t>
            </w:r>
            <w:proofErr w:type="gram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Arcs:</w:t>
            </w:r>
            <w:proofErr w:type="gram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Editions IARSIC, 2015.</w:t>
            </w:r>
          </w:p>
        </w:tc>
      </w:tr>
      <w:tr w:rsidR="00C557A1" w:rsidRPr="00C557A1" w14:paraId="00BBE4C0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D9BEAB3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2015</w:t>
            </w:r>
          </w:p>
        </w:tc>
        <w:tc>
          <w:tcPr>
            <w:tcW w:w="7496" w:type="dxa"/>
            <w:shd w:val="clear" w:color="auto" w:fill="auto"/>
          </w:tcPr>
          <w:p w14:paraId="7187C5CB" w14:textId="1F5578D9" w:rsidR="0015670F" w:rsidRPr="00C557A1" w:rsidRDefault="00E30EE6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Semne comportamentale ale sfârșitului </w:t>
            </w:r>
            <w:proofErr w:type="gramStart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vremurilor:</w:t>
            </w:r>
            <w:proofErr w:type="gramEnd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Iminența Parusiei în 2 Timotei 3:15.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”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(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“End-Times Behavioral </w:t>
            </w:r>
            <w:proofErr w:type="gramStart"/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Signs:</w:t>
            </w:r>
            <w:proofErr w:type="gramEnd"/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Imminence of the Parousia in 2 Timothy 3:15”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).</w:t>
            </w:r>
            <w:r w:rsidRPr="00C557A1">
              <w:rPr>
                <w:rFonts w:cs="Arial"/>
                <w:i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10, No. 1 (2015): 63-82.</w:t>
            </w:r>
          </w:p>
        </w:tc>
      </w:tr>
      <w:tr w:rsidR="00C557A1" w:rsidRPr="00C557A1" w14:paraId="6E76DE50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34351B9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08A2F3FD" w14:textId="77777777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“Nominative in Apposition to An Oblique Case in the Discourse of Mark 7.” In 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Values of Christian Relationships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. Edited by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Constantineanu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, C.,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Runcan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, P., Rață, G. 175-182.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Bucureşti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Editura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Didactică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şi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Pedagogică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, 2014.</w:t>
            </w:r>
          </w:p>
        </w:tc>
      </w:tr>
      <w:tr w:rsidR="00C557A1" w:rsidRPr="00C557A1" w14:paraId="376388FB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13BA61C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48607489" w14:textId="77777777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“Christian Freedom and Its Boundaries in 1 Corinthians 6:12 and 10:23.” In 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Christian Values vs. Contemporary Values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. Edited by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Constantineanu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, C., Rață, G.,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Runcan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, P. 83-90.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Bucureşti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Editura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Didactică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şi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Pedagogică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, 2014.</w:t>
            </w:r>
          </w:p>
        </w:tc>
      </w:tr>
      <w:tr w:rsidR="00C557A1" w:rsidRPr="00C557A1" w14:paraId="2F7ED0C6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08ADD87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6A613D70" w14:textId="45A9E004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Critica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Textual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ă a Noului Testament Între Secolele XVI-XVII.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(“NT Textual Criticism Between XVI-XVII Centuries”).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9, No. 1 (2014): 97-108.</w:t>
            </w:r>
          </w:p>
        </w:tc>
      </w:tr>
      <w:tr w:rsidR="00C557A1" w:rsidRPr="00C557A1" w14:paraId="35E0E4B4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F1C0E21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6256C56D" w14:textId="14C0EBC4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“Libertate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și constrângere religioasă în lumina cărții Apocalipsa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.”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(“Freedom and Religious Coercion in light of the Book of Revelation”).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Jurnalul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Libertății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Conștiință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Edited by Burcea Nelu. 174-185.</w:t>
            </w: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Les Arcs: Editions IARSIC, 2014.</w:t>
            </w:r>
          </w:p>
        </w:tc>
      </w:tr>
      <w:tr w:rsidR="00C557A1" w:rsidRPr="00C557A1" w14:paraId="12801FEE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FB29BC5" w14:textId="77777777" w:rsidR="0015670F" w:rsidRPr="00C557A1" w:rsidRDefault="00E30EE6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2013</w:t>
            </w:r>
          </w:p>
        </w:tc>
        <w:tc>
          <w:tcPr>
            <w:tcW w:w="7496" w:type="dxa"/>
            <w:shd w:val="clear" w:color="auto" w:fill="auto"/>
          </w:tcPr>
          <w:p w14:paraId="520E87E4" w14:textId="77777777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“New Testament Textual Criticism, Vernacular Translations and Religious Intolerance.” </w:t>
            </w:r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European Journal of Science and Theology.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Vol. 9, no. 5 (October 2013): 3-10.</w:t>
            </w:r>
          </w:p>
        </w:tc>
      </w:tr>
      <w:tr w:rsidR="00C557A1" w:rsidRPr="00C557A1" w14:paraId="788C1DF0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5855A8BA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2013</w:t>
            </w:r>
          </w:p>
        </w:tc>
        <w:tc>
          <w:tcPr>
            <w:tcW w:w="7496" w:type="dxa"/>
            <w:shd w:val="clear" w:color="auto" w:fill="auto"/>
          </w:tcPr>
          <w:p w14:paraId="6936DB68" w14:textId="02346496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Subiectul Expresiei </w:t>
            </w:r>
            <w:r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Καθαρίζων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Πάντα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τὰ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Βρώματα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în</w:t>
            </w:r>
            <w:r w:rsidRPr="00C557A1">
              <w:rPr>
                <w:rFonts w:cs="Arial"/>
                <w:color w:val="auto"/>
                <w:sz w:val="18"/>
                <w:szCs w:val="18"/>
                <w:lang w:bidi="he-IL"/>
              </w:rPr>
              <w:t xml:space="preserve"> Marcu 7</w:t>
            </w:r>
            <w:r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>:19.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(“The Subject of the </w:t>
            </w:r>
            <w:proofErr w:type="gramStart"/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Phrase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n-US" w:bidi="he-IL"/>
              </w:rPr>
              <w:t xml:space="preserve">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Καθαρίζων</w:t>
            </w:r>
            <w:proofErr w:type="gramEnd"/>
            <w:r w:rsidR="00BA3587"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Πάντα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τὰ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el-GR" w:bidi="he-IL"/>
              </w:rPr>
              <w:t>Βρώματα</w:t>
            </w:r>
            <w:r w:rsidR="00BA3587" w:rsidRPr="00C557A1">
              <w:rPr>
                <w:rFonts w:cs="Arial"/>
                <w:color w:val="auto"/>
                <w:sz w:val="18"/>
                <w:szCs w:val="18"/>
                <w:lang w:val="ro-RO" w:bidi="he-IL"/>
              </w:rPr>
              <w:t xml:space="preserve"> 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in Mark 7:19”).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8, No. 1 (2013): 97-108.</w:t>
            </w:r>
          </w:p>
        </w:tc>
      </w:tr>
      <w:tr w:rsidR="00C557A1" w:rsidRPr="00C557A1" w14:paraId="3C10CFE6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32657560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2013</w:t>
            </w:r>
          </w:p>
        </w:tc>
        <w:tc>
          <w:tcPr>
            <w:tcW w:w="7496" w:type="dxa"/>
            <w:shd w:val="clear" w:color="auto" w:fill="auto"/>
          </w:tcPr>
          <w:p w14:paraId="437D6176" w14:textId="22EFF240" w:rsidR="0015670F" w:rsidRPr="00C557A1" w:rsidRDefault="00E30EE6" w:rsidP="00581ADA">
            <w:pPr>
              <w:ind w:left="360"/>
              <w:rPr>
                <w:rFonts w:cs="Arial"/>
                <w:color w:val="auto"/>
                <w:sz w:val="18"/>
                <w:szCs w:val="18"/>
                <w:lang w:val="ro-RO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Foc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din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D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er: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Dreptate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Divin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ă sau Abuz în Serviciu.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(“Fire From Heaven: Divine Justice or Abuse of Office”).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Jurnalul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Libertății</w:t>
            </w:r>
            <w:proofErr w:type="spellEnd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 xml:space="preserve"> de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Conștiință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. Edited by Burcea Nelu. 298-308.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București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: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Editura Universitară, 2013.</w:t>
            </w:r>
          </w:p>
        </w:tc>
      </w:tr>
      <w:tr w:rsidR="00C557A1" w:rsidRPr="00C557A1" w14:paraId="4DB01BC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C0470D6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2012</w:t>
            </w:r>
          </w:p>
        </w:tc>
        <w:tc>
          <w:tcPr>
            <w:tcW w:w="7496" w:type="dxa"/>
            <w:shd w:val="clear" w:color="auto" w:fill="auto"/>
          </w:tcPr>
          <w:p w14:paraId="0169AA1F" w14:textId="77777777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“Biblical Terminology for Ellen G. White’s Concept of ‘Propensity to Sin’ – part I.”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7, No. 1 (2012): 57-78.</w:t>
            </w:r>
          </w:p>
        </w:tc>
      </w:tr>
      <w:tr w:rsidR="00C557A1" w:rsidRPr="00C557A1" w14:paraId="052C985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826D485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2011</w:t>
            </w:r>
          </w:p>
        </w:tc>
        <w:tc>
          <w:tcPr>
            <w:tcW w:w="7496" w:type="dxa"/>
            <w:shd w:val="clear" w:color="auto" w:fill="auto"/>
          </w:tcPr>
          <w:p w14:paraId="04B3EA35" w14:textId="77777777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“Biblical Terminology for Ellen G. White’s Concept of ‘Propensity to Sin’ – part II.”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6, No. 1 (2011): 58-79.</w:t>
            </w:r>
          </w:p>
        </w:tc>
      </w:tr>
      <w:tr w:rsidR="00C557A1" w:rsidRPr="00C557A1" w14:paraId="09336E53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ADD3E70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2010</w:t>
            </w:r>
          </w:p>
        </w:tc>
        <w:tc>
          <w:tcPr>
            <w:tcW w:w="7496" w:type="dxa"/>
            <w:shd w:val="clear" w:color="auto" w:fill="auto"/>
          </w:tcPr>
          <w:p w14:paraId="34B119B1" w14:textId="25C4F0E3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Iminența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Parousiei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din Perspectiva lui Matei 10:23.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(“Imminence of the Parousia </w:t>
            </w:r>
            <w:proofErr w:type="gramStart"/>
            <w:r w:rsidR="00BA3587" w:rsidRPr="00C557A1">
              <w:rPr>
                <w:rFonts w:cs="Arial"/>
                <w:color w:val="auto"/>
                <w:sz w:val="18"/>
                <w:szCs w:val="18"/>
              </w:rPr>
              <w:t>From</w:t>
            </w:r>
            <w:proofErr w:type="gramEnd"/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the Perspective of Matthew 10:23”).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5, No. 1 (2010): 48-61.</w:t>
            </w:r>
          </w:p>
        </w:tc>
      </w:tr>
      <w:tr w:rsidR="00C557A1" w:rsidRPr="00C557A1" w14:paraId="483E22D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51C2386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2009</w:t>
            </w:r>
          </w:p>
        </w:tc>
        <w:tc>
          <w:tcPr>
            <w:tcW w:w="7496" w:type="dxa"/>
            <w:shd w:val="clear" w:color="auto" w:fill="auto"/>
          </w:tcPr>
          <w:p w14:paraId="738B7616" w14:textId="36C6146B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Registrele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Cerului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Un Studiu Exhaustiv al Documentelor Care se Află în Cer.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 xml:space="preserve"> (</w:t>
            </w:r>
            <w:r w:rsidR="006D5D9B" w:rsidRPr="00C557A1">
              <w:rPr>
                <w:rFonts w:cs="Arial"/>
                <w:color w:val="auto"/>
                <w:sz w:val="18"/>
                <w:szCs w:val="18"/>
              </w:rPr>
              <w:t>“Books of Heaven: A Comprehensive Study of the Heavenly Documents</w:t>
            </w:r>
            <w:r w:rsidR="00BA3587" w:rsidRPr="00C557A1">
              <w:rPr>
                <w:rFonts w:cs="Arial"/>
                <w:color w:val="auto"/>
                <w:sz w:val="18"/>
                <w:szCs w:val="18"/>
              </w:rPr>
              <w:t>)</w:t>
            </w:r>
            <w:r w:rsidR="006D5D9B" w:rsidRPr="00C557A1">
              <w:rPr>
                <w:rFonts w:cs="Arial"/>
                <w:color w:val="auto"/>
                <w:sz w:val="18"/>
                <w:szCs w:val="18"/>
              </w:rPr>
              <w:t>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4, No. 2 (2009): 57-77.</w:t>
            </w:r>
          </w:p>
        </w:tc>
      </w:tr>
      <w:tr w:rsidR="00C557A1" w:rsidRPr="00C557A1" w14:paraId="1AA0D49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2CBDE96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2008</w:t>
            </w:r>
          </w:p>
        </w:tc>
        <w:tc>
          <w:tcPr>
            <w:tcW w:w="7496" w:type="dxa"/>
            <w:shd w:val="clear" w:color="auto" w:fill="auto"/>
          </w:tcPr>
          <w:p w14:paraId="3226EEB8" w14:textId="2E56108F" w:rsidR="0015670F" w:rsidRPr="00C557A1" w:rsidRDefault="00E30EE6" w:rsidP="00581ADA">
            <w:pPr>
              <w:pStyle w:val="NoSpacing"/>
              <w:ind w:left="360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Timpul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Trâmbiței a Cincea.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>”</w:t>
            </w:r>
            <w:r w:rsidR="006D5D9B" w:rsidRPr="00C557A1">
              <w:rPr>
                <w:rFonts w:cs="Arial"/>
                <w:color w:val="auto"/>
                <w:sz w:val="18"/>
                <w:szCs w:val="18"/>
              </w:rPr>
              <w:t xml:space="preserve"> (“Time of the Fifth Trumpet”).</w:t>
            </w: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3, No. 2 (2008): 68-117.</w:t>
            </w:r>
          </w:p>
        </w:tc>
      </w:tr>
      <w:tr w:rsidR="00C557A1" w:rsidRPr="00C557A1" w14:paraId="2A9C7AE6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708BD90" w14:textId="77777777" w:rsidR="0015670F" w:rsidRPr="00C557A1" w:rsidRDefault="009D561D">
            <w:pPr>
              <w:pStyle w:val="ECVLeftDetails"/>
              <w:rPr>
                <w:rFonts w:cs="Arial"/>
                <w:color w:val="auto"/>
                <w:szCs w:val="18"/>
                <w:lang w:val="en-US"/>
              </w:rPr>
            </w:pPr>
            <w:r w:rsidRPr="00C557A1">
              <w:rPr>
                <w:rFonts w:cs="Arial"/>
                <w:color w:val="auto"/>
                <w:szCs w:val="18"/>
              </w:rPr>
              <w:t>2007</w:t>
            </w:r>
          </w:p>
        </w:tc>
        <w:tc>
          <w:tcPr>
            <w:tcW w:w="7496" w:type="dxa"/>
            <w:shd w:val="clear" w:color="auto" w:fill="auto"/>
          </w:tcPr>
          <w:p w14:paraId="31AF310E" w14:textId="77777777" w:rsidR="003A048C" w:rsidRDefault="00E30EE6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“Daniel </w:t>
            </w:r>
            <w:proofErr w:type="gram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9:</w:t>
            </w:r>
            <w:proofErr w:type="gram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24-25 ca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Răspuns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Rugăciunea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lui Daniel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din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Daniel 9:4-19.”</w:t>
            </w:r>
            <w:r w:rsidR="006D5D9B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(</w:t>
            </w:r>
            <w:r w:rsidR="006D5D9B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“Danie</w:t>
            </w:r>
            <w:r w:rsidR="009E3E98">
              <w:rPr>
                <w:rFonts w:cs="Arial"/>
                <w:color w:val="auto"/>
                <w:sz w:val="18"/>
                <w:szCs w:val="18"/>
                <w:lang w:val="en-US"/>
              </w:rPr>
              <w:t>l</w:t>
            </w:r>
            <w:r w:rsidR="006D5D9B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gramStart"/>
            <w:r w:rsidR="006D5D9B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9:</w:t>
            </w:r>
            <w:proofErr w:type="gramEnd"/>
            <w:r w:rsidR="006D5D9B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24-25 as Answer to Daniel’s Prayer in Daniel 9:4-19”</w:t>
            </w:r>
            <w:r w:rsidR="006D5D9B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).</w:t>
            </w: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i/>
                <w:color w:val="auto"/>
                <w:sz w:val="18"/>
                <w:szCs w:val="18"/>
              </w:rPr>
              <w:t>Theorhēma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>. Vol. 2, No. 1 (2007): 94-11</w:t>
            </w:r>
            <w:r w:rsidR="003A048C" w:rsidRPr="00C557A1">
              <w:rPr>
                <w:rFonts w:cs="Arial"/>
                <w:color w:val="auto"/>
                <w:sz w:val="18"/>
                <w:szCs w:val="18"/>
              </w:rPr>
              <w:t>.</w:t>
            </w:r>
          </w:p>
          <w:p w14:paraId="34048716" w14:textId="77777777" w:rsidR="00591F04" w:rsidRDefault="00591F04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</w:p>
          <w:p w14:paraId="3D0C1533" w14:textId="77777777" w:rsidR="00797950" w:rsidRDefault="00797950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</w:p>
          <w:p w14:paraId="155CF7D6" w14:textId="2CBF2C1D" w:rsidR="00797950" w:rsidRPr="00C557A1" w:rsidRDefault="00797950" w:rsidP="00581AD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bookmarkEnd w:id="0"/>
      <w:tr w:rsidR="00C557A1" w:rsidRPr="00C557A1" w14:paraId="52543E1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019F329C" w14:textId="08202B13" w:rsidR="00353BEF" w:rsidRPr="00C557A1" w:rsidRDefault="00DC534B" w:rsidP="00591F04">
            <w:pPr>
              <w:pStyle w:val="ECVLeftDetails"/>
              <w:jc w:val="left"/>
              <w:rPr>
                <w:color w:val="auto"/>
              </w:rPr>
            </w:pPr>
            <w:r w:rsidRPr="00C557A1">
              <w:rPr>
                <w:color w:val="auto"/>
              </w:rPr>
              <w:lastRenderedPageBreak/>
              <w:t>Publications (Church periodicals)</w:t>
            </w:r>
          </w:p>
          <w:p w14:paraId="53653E4C" w14:textId="77777777" w:rsidR="00353BEF" w:rsidRPr="00C557A1" w:rsidRDefault="00353BEF" w:rsidP="009D561D">
            <w:pPr>
              <w:pStyle w:val="ECVLeftDetails"/>
              <w:rPr>
                <w:color w:val="auto"/>
              </w:rPr>
            </w:pPr>
          </w:p>
          <w:p w14:paraId="6E13C937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081B45F5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19578EF7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4F144DBB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58F6DB05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113D31BA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73A9570D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427D8D8D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65AC2F90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19A9A33F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1BE86C00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3E83F3BF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672AC59E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6EEC396E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7764148A" w14:textId="77777777" w:rsidR="00DC534B" w:rsidRPr="00C557A1" w:rsidRDefault="00DC534B" w:rsidP="009D561D">
            <w:pPr>
              <w:pStyle w:val="ECVLeftDetails"/>
              <w:rPr>
                <w:color w:val="auto"/>
              </w:rPr>
            </w:pPr>
          </w:p>
          <w:p w14:paraId="5574DB68" w14:textId="77777777" w:rsidR="00DE67A5" w:rsidRPr="00C557A1" w:rsidRDefault="00DE67A5" w:rsidP="009D561D">
            <w:pPr>
              <w:pStyle w:val="ECVLeftDetails"/>
              <w:rPr>
                <w:color w:val="auto"/>
              </w:rPr>
            </w:pPr>
          </w:p>
          <w:p w14:paraId="7F12068F" w14:textId="77777777" w:rsidR="00DE67A5" w:rsidRPr="00C557A1" w:rsidRDefault="00DE67A5" w:rsidP="009D561D">
            <w:pPr>
              <w:pStyle w:val="ECVLeftDetails"/>
              <w:rPr>
                <w:color w:val="auto"/>
              </w:rPr>
            </w:pPr>
          </w:p>
          <w:p w14:paraId="71929DB9" w14:textId="77777777" w:rsidR="00DE67A5" w:rsidRPr="00C557A1" w:rsidRDefault="00DE67A5" w:rsidP="009D561D">
            <w:pPr>
              <w:pStyle w:val="ECVLeftDetails"/>
              <w:rPr>
                <w:color w:val="auto"/>
              </w:rPr>
            </w:pPr>
          </w:p>
          <w:p w14:paraId="20B9B320" w14:textId="77777777" w:rsidR="00DE67A5" w:rsidRPr="00C557A1" w:rsidRDefault="00DE67A5" w:rsidP="009D561D">
            <w:pPr>
              <w:pStyle w:val="ECVLeftDetails"/>
              <w:rPr>
                <w:color w:val="auto"/>
              </w:rPr>
            </w:pPr>
          </w:p>
          <w:p w14:paraId="0F19A247" w14:textId="77777777" w:rsidR="00DE67A5" w:rsidRPr="00C557A1" w:rsidRDefault="00DE67A5" w:rsidP="009D561D">
            <w:pPr>
              <w:pStyle w:val="ECVLeftDetails"/>
              <w:rPr>
                <w:color w:val="auto"/>
              </w:rPr>
            </w:pPr>
          </w:p>
          <w:p w14:paraId="6573347D" w14:textId="77777777" w:rsidR="00C41527" w:rsidRPr="00C557A1" w:rsidRDefault="00C41527" w:rsidP="009D561D">
            <w:pPr>
              <w:pStyle w:val="ECVLeftDetails"/>
              <w:rPr>
                <w:color w:val="auto"/>
              </w:rPr>
            </w:pPr>
          </w:p>
          <w:p w14:paraId="0FB1902E" w14:textId="77777777" w:rsidR="00C41527" w:rsidRPr="00C557A1" w:rsidRDefault="00C41527" w:rsidP="009D561D">
            <w:pPr>
              <w:pStyle w:val="ECVLeftDetails"/>
              <w:rPr>
                <w:color w:val="auto"/>
              </w:rPr>
            </w:pPr>
          </w:p>
          <w:p w14:paraId="29F4F65A" w14:textId="77777777" w:rsidR="00C41527" w:rsidRPr="00C557A1" w:rsidRDefault="00C41527" w:rsidP="009D561D">
            <w:pPr>
              <w:pStyle w:val="ECVLeftDetails"/>
              <w:rPr>
                <w:color w:val="auto"/>
              </w:rPr>
            </w:pPr>
          </w:p>
          <w:p w14:paraId="359B92AB" w14:textId="77777777" w:rsidR="00C41527" w:rsidRPr="00C557A1" w:rsidRDefault="00C41527" w:rsidP="009D561D">
            <w:pPr>
              <w:pStyle w:val="ECVLeftDetails"/>
              <w:rPr>
                <w:color w:val="auto"/>
              </w:rPr>
            </w:pPr>
          </w:p>
          <w:p w14:paraId="2C5677E6" w14:textId="02789293" w:rsidR="00C41527" w:rsidRPr="00C557A1" w:rsidRDefault="00C41527" w:rsidP="009D561D">
            <w:pPr>
              <w:pStyle w:val="ECVLeftDetails"/>
              <w:rPr>
                <w:color w:val="auto"/>
              </w:rPr>
            </w:pPr>
          </w:p>
          <w:p w14:paraId="669BB3DE" w14:textId="7E503AC4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66EB705B" w14:textId="71423656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142B74EF" w14:textId="6231B9AE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28AD45A5" w14:textId="1A5580F8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5D415C25" w14:textId="2F78DE2B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4AEFF295" w14:textId="723A2B99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3CA774E2" w14:textId="7F3BD5F1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358B8892" w14:textId="450312FE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21FC7ED4" w14:textId="0A3C660A" w:rsidR="00CB4FAC" w:rsidRPr="00C557A1" w:rsidRDefault="00CB4FAC" w:rsidP="009D561D">
            <w:pPr>
              <w:pStyle w:val="ECVLeftDetails"/>
              <w:rPr>
                <w:color w:val="auto"/>
              </w:rPr>
            </w:pPr>
          </w:p>
          <w:p w14:paraId="4A23544A" w14:textId="48657FBC" w:rsidR="003A048C" w:rsidRPr="00C557A1" w:rsidRDefault="003A048C" w:rsidP="009D561D">
            <w:pPr>
              <w:pStyle w:val="ECVLeftDetails"/>
              <w:rPr>
                <w:color w:val="auto"/>
              </w:rPr>
            </w:pPr>
          </w:p>
          <w:p w14:paraId="78E23BDD" w14:textId="1A1F950F" w:rsidR="003A048C" w:rsidRPr="00C557A1" w:rsidRDefault="003A048C" w:rsidP="009D561D">
            <w:pPr>
              <w:pStyle w:val="ECVLeftDetails"/>
              <w:rPr>
                <w:color w:val="auto"/>
              </w:rPr>
            </w:pPr>
          </w:p>
          <w:p w14:paraId="48A61905" w14:textId="65CFFFE3" w:rsidR="003A048C" w:rsidRPr="00C557A1" w:rsidRDefault="003A048C" w:rsidP="009D561D">
            <w:pPr>
              <w:pStyle w:val="ECVLeftDetails"/>
              <w:rPr>
                <w:color w:val="auto"/>
              </w:rPr>
            </w:pPr>
          </w:p>
          <w:p w14:paraId="7798A797" w14:textId="77777777" w:rsidR="00BF1F0B" w:rsidRPr="00C557A1" w:rsidRDefault="00BF1F0B" w:rsidP="009D561D">
            <w:pPr>
              <w:pStyle w:val="ECVLeftDetails"/>
              <w:rPr>
                <w:color w:val="auto"/>
              </w:rPr>
            </w:pPr>
          </w:p>
          <w:p w14:paraId="40D73A26" w14:textId="77777777" w:rsidR="00624283" w:rsidRPr="00C557A1" w:rsidRDefault="00624283" w:rsidP="009D561D">
            <w:pPr>
              <w:pStyle w:val="ECVLeftDetails"/>
              <w:rPr>
                <w:color w:val="auto"/>
              </w:rPr>
            </w:pPr>
          </w:p>
          <w:p w14:paraId="7EE716A2" w14:textId="77777777" w:rsidR="0035142F" w:rsidRPr="00C557A1" w:rsidRDefault="0035142F" w:rsidP="009D561D">
            <w:pPr>
              <w:pStyle w:val="ECVLeftDetails"/>
              <w:rPr>
                <w:color w:val="auto"/>
              </w:rPr>
            </w:pPr>
          </w:p>
          <w:p w14:paraId="0C427ADD" w14:textId="1436BCBE" w:rsidR="009D561D" w:rsidRPr="00C557A1" w:rsidRDefault="009D561D" w:rsidP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</w:rPr>
              <w:t>Courses at other universities</w:t>
            </w:r>
          </w:p>
        </w:tc>
        <w:tc>
          <w:tcPr>
            <w:tcW w:w="7496" w:type="dxa"/>
            <w:shd w:val="clear" w:color="auto" w:fill="auto"/>
          </w:tcPr>
          <w:p w14:paraId="6CD87137" w14:textId="42A11A8C" w:rsidR="00FD05D5" w:rsidRPr="00591F04" w:rsidRDefault="00FD05D5" w:rsidP="00591F04">
            <w:pPr>
              <w:pStyle w:val="NoSpacing"/>
              <w:rPr>
                <w:color w:val="auto"/>
                <w:sz w:val="18"/>
                <w:szCs w:val="18"/>
                <w:lang w:val="en-US" w:eastAsia="ro-RO"/>
              </w:rPr>
            </w:pPr>
            <w:bookmarkStart w:id="1" w:name="_Hlk51102530"/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Anglicanismul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>.” (“Ang</w:t>
            </w:r>
            <w:r w:rsidR="008822BA" w:rsidRPr="00591F04">
              <w:rPr>
                <w:color w:val="auto"/>
                <w:sz w:val="18"/>
                <w:szCs w:val="18"/>
                <w:lang w:val="en-US" w:eastAsia="ro-RO"/>
              </w:rPr>
              <w:t>l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icanism”).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34/7 (iulie 2021):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14-17.</w:t>
            </w:r>
          </w:p>
          <w:p w14:paraId="7EC2401B" w14:textId="1D457B9D" w:rsidR="00692594" w:rsidRPr="00591F04" w:rsidRDefault="00692594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În cursă să propriul potențial.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” (“Competing Your Own Potential”).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 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34/6 (iunie 2021): 45-47.</w:t>
            </w:r>
          </w:p>
          <w:p w14:paraId="6498D6C6" w14:textId="0F4FAD91" w:rsidR="00D915E1" w:rsidRPr="00591F04" w:rsidRDefault="00D915E1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Vocabularul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atipic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al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lui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Iisus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.” (“The Unusual Vocabulary of Jesus”).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 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34/4 (aprilie 2021): 26-29.</w:t>
            </w:r>
          </w:p>
          <w:p w14:paraId="329D9036" w14:textId="53224408" w:rsidR="00D915E1" w:rsidRPr="00591F04" w:rsidRDefault="00D915E1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Incertitudinile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omului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religios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” (“The Uncertainties of the Religious Man”).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 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34/3 (martie 2021): 54-56.</w:t>
            </w:r>
          </w:p>
          <w:p w14:paraId="2D29A447" w14:textId="68EEF799" w:rsidR="00D22A6C" w:rsidRPr="00591F04" w:rsidRDefault="00D22A6C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“Confesiune: în căutarea scopului ultim.” (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“Confession: Searching for the Ultimate Purpose”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).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33/9 (septembrie 2020): 32-33.</w:t>
            </w:r>
          </w:p>
          <w:p w14:paraId="03B98EC3" w14:textId="295140A4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“Timpul sfârșitului în învățătura lui Iisus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(“Time of </w:t>
            </w:r>
            <w:proofErr w:type="spellStart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the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proofErr w:type="spellStart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End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in </w:t>
            </w:r>
            <w:proofErr w:type="spellStart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Teachings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of </w:t>
            </w:r>
            <w:proofErr w:type="spellStart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Jesus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”).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33/6 (iunie 2020): 48-55. </w:t>
            </w:r>
          </w:p>
          <w:p w14:paraId="00A69234" w14:textId="7BC18B08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“Sfârșitul lumii în creștinism: trei perspective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“Time of the End in Christianity: Three Perspectives”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33/6 (iunie 2020): 42-47.</w:t>
            </w:r>
          </w:p>
          <w:p w14:paraId="114393AF" w14:textId="61723D06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ro-RO" w:eastAsia="ro-RO"/>
              </w:rPr>
              <w:t>Apocalipsele</w:t>
            </w:r>
            <w:proofErr w:type="spellEnd"/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recurente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“Recurrent apocalypses”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33/4 (aprilie 2020): 32-34.</w:t>
            </w:r>
          </w:p>
          <w:p w14:paraId="68855C4B" w14:textId="552F87F3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“Învață-ne să ne rugăm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“Teach us to Pray”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33/3 (martie 2020): 34-37.</w:t>
            </w:r>
          </w:p>
          <w:p w14:paraId="5F3285AB" w14:textId="7B41ED2C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“Cum se construiesc argumentele valide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“How are Valid Arguments Built”</w:t>
            </w:r>
            <w:r w:rsidR="00196565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iCs/>
                <w:color w:val="auto"/>
                <w:sz w:val="18"/>
                <w:szCs w:val="18"/>
                <w:lang w:val="ro-RO" w:eastAsia="ro-RO"/>
              </w:rPr>
              <w:t xml:space="preserve">Semnele timpului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33/2 (februarie 2020): 18-21.</w:t>
            </w:r>
          </w:p>
          <w:p w14:paraId="303EE02B" w14:textId="29332A9B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Cea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din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urmă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chemare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(“Last Call”).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>Curierul Adventist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(ianuarie 2015): 28-29.</w:t>
            </w:r>
          </w:p>
          <w:p w14:paraId="772A8C70" w14:textId="0D8E8EC0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Înnoirea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tuturor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lucrurilor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(“Renewal of all Things”).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Curierul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Adventist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decembrie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2014): 24-25.</w:t>
            </w:r>
          </w:p>
          <w:p w14:paraId="365A9515" w14:textId="351A7197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Mileniul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: sus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cer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și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jos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pe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pământ</w:t>
            </w:r>
            <w:proofErr w:type="spellEnd"/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(“Millennium: 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in Heaven and on Earth</w:t>
            </w:r>
            <w:r w:rsidR="00196565" w:rsidRPr="00591F04">
              <w:rPr>
                <w:color w:val="auto"/>
                <w:sz w:val="18"/>
                <w:szCs w:val="18"/>
                <w:lang w:val="en-US" w:eastAsia="ro-RO"/>
              </w:rPr>
              <w:t>”)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Curierul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Adventist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</w:t>
            </w:r>
            <w:proofErr w:type="spellStart"/>
            <w:r w:rsidR="00C41527" w:rsidRPr="00591F04">
              <w:rPr>
                <w:color w:val="auto"/>
                <w:sz w:val="18"/>
                <w:szCs w:val="18"/>
                <w:lang w:val="en-US" w:eastAsia="ro-RO"/>
              </w:rPr>
              <w:t>noiembrie</w:t>
            </w:r>
            <w:proofErr w:type="spellEnd"/>
            <w:r w:rsidR="00C41527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2014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)</w:t>
            </w:r>
            <w:r w:rsidR="00C41527" w:rsidRPr="00591F04">
              <w:rPr>
                <w:color w:val="auto"/>
                <w:sz w:val="18"/>
                <w:szCs w:val="18"/>
                <w:lang w:val="en-US" w:eastAsia="ro-RO"/>
              </w:rPr>
              <w:t>: 24-25.</w:t>
            </w:r>
          </w:p>
          <w:p w14:paraId="4C160BCA" w14:textId="74DA8A74" w:rsidR="00DE67A5" w:rsidRPr="00591F04" w:rsidRDefault="00DE67A5" w:rsidP="00DE67A5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„Cele două ospețe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Two Banquets”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(septembrie 2014): 20-21.</w:t>
            </w:r>
          </w:p>
          <w:p w14:paraId="04CF10F7" w14:textId="4BBA703E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„Marea surpriză de la Armaghedon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Great Surprise of Armageddon”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(august 2014): 26-27.</w:t>
            </w:r>
          </w:p>
          <w:p w14:paraId="16CA7946" w14:textId="3786D53B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„Destinul desfrânatei celei mari (II)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Fate of the Great Prostitute [II]”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(ianuarie 2014): 20-21.</w:t>
            </w:r>
          </w:p>
          <w:p w14:paraId="709B25FA" w14:textId="4AAEF786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„Destinul desfrânatei celei mari (I)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Fate of the Great Prostitute [I]”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(decembrie 2013): 28-29.</w:t>
            </w:r>
          </w:p>
          <w:p w14:paraId="0B0CE6D4" w14:textId="2C5ECBBA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„Pregătirea pentru războiul de la Armaghedon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“Preparation for the War of Armageddon”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(noiembrie 2013): 28-29.</w:t>
            </w:r>
          </w:p>
          <w:p w14:paraId="09000200" w14:textId="1B4834D5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„Războiul de sus și de jos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War Above and Below”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(septembrie 2013): 28-29.</w:t>
            </w:r>
          </w:p>
          <w:p w14:paraId="60596934" w14:textId="40972BD0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„Cele două rămășițe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Two Remnants”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(august 2013): 28-29. </w:t>
            </w:r>
          </w:p>
          <w:p w14:paraId="6125DA5D" w14:textId="5482C2F8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„Cele șapte trâmbițe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Seven Trumpets”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 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(iulie 2013): 28-29.</w:t>
            </w:r>
          </w:p>
          <w:p w14:paraId="0436FFE6" w14:textId="7778D2A9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„Cei 144 000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144000”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(iunie 2013): 28-29.</w:t>
            </w:r>
          </w:p>
          <w:p w14:paraId="4D03D36D" w14:textId="15ED3A78" w:rsidR="00DE67A5" w:rsidRPr="00591F04" w:rsidRDefault="00DE67A5" w:rsidP="00DE67A5">
            <w:pPr>
              <w:shd w:val="clear" w:color="auto" w:fill="FFFFFF"/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„Cele șapte sigilii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“The Seven Seals”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 xml:space="preserve">Curierul Adventist 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(aprilie 2013): 28-29.</w:t>
            </w:r>
          </w:p>
          <w:p w14:paraId="26D2D145" w14:textId="4C6EC91D" w:rsidR="00DE67A5" w:rsidRPr="00591F04" w:rsidRDefault="00DE67A5" w:rsidP="00DE67A5">
            <w:pPr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>„În sala tronului de sus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>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CB4FAC" w:rsidRPr="00591F04">
              <w:rPr>
                <w:color w:val="auto"/>
                <w:sz w:val="18"/>
                <w:szCs w:val="18"/>
                <w:lang w:val="en-US" w:eastAsia="ro-RO"/>
              </w:rPr>
              <w:t>“In the Throne-Room Above”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>Curierul Adventist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(martie 2013): 28-29. </w:t>
            </w:r>
          </w:p>
          <w:p w14:paraId="00B30149" w14:textId="5D58CF86" w:rsidR="00DC534B" w:rsidRPr="00591F04" w:rsidRDefault="00DE67A5" w:rsidP="00DE67A5">
            <w:pPr>
              <w:rPr>
                <w:color w:val="auto"/>
                <w:sz w:val="18"/>
                <w:szCs w:val="18"/>
                <w:lang w:val="ro-RO" w:eastAsia="ro-RO"/>
              </w:rPr>
            </w:pP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„Tu zici că ești </w:t>
            </w:r>
            <w:proofErr w:type="spellStart"/>
            <w:r w:rsidRPr="00591F04">
              <w:rPr>
                <w:color w:val="auto"/>
                <w:sz w:val="18"/>
                <w:szCs w:val="18"/>
                <w:lang w:val="ro-RO" w:eastAsia="ro-RO"/>
              </w:rPr>
              <w:t>laodiceean</w:t>
            </w:r>
            <w:proofErr w:type="spellEnd"/>
            <w:r w:rsidRPr="00591F04">
              <w:rPr>
                <w:color w:val="auto"/>
                <w:sz w:val="18"/>
                <w:szCs w:val="18"/>
                <w:lang w:val="ro-RO" w:eastAsia="ro-RO"/>
              </w:rPr>
              <w:t>... și nu știi...”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</w:t>
            </w:r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>“You Say You are Laodicean … but You Do Not Know …”</w:t>
            </w:r>
            <w:r w:rsidR="00CB4FAC" w:rsidRPr="00591F04">
              <w:rPr>
                <w:color w:val="auto"/>
                <w:sz w:val="18"/>
                <w:szCs w:val="18"/>
                <w:lang w:val="ro-RO" w:eastAsia="ro-RO"/>
              </w:rPr>
              <w:t>)</w:t>
            </w:r>
            <w:r w:rsidR="003A048C" w:rsidRPr="00591F04">
              <w:rPr>
                <w:color w:val="auto"/>
                <w:sz w:val="18"/>
                <w:szCs w:val="18"/>
                <w:lang w:val="ro-RO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</w:t>
            </w:r>
            <w:r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>Curierul Adventist</w:t>
            </w:r>
            <w:r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(februarie 2013): 26-27. </w:t>
            </w:r>
            <w:r w:rsidR="00DC534B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„Apocalipsa pentru biserică,” </w:t>
            </w:r>
            <w:r w:rsidR="00DC534B" w:rsidRPr="00591F04">
              <w:rPr>
                <w:i/>
                <w:color w:val="auto"/>
                <w:sz w:val="18"/>
                <w:szCs w:val="18"/>
                <w:lang w:val="ro-RO" w:eastAsia="ro-RO"/>
              </w:rPr>
              <w:t>Curierul Adventist</w:t>
            </w:r>
            <w:r w:rsidR="00DC534B" w:rsidRPr="00591F04">
              <w:rPr>
                <w:color w:val="auto"/>
                <w:sz w:val="18"/>
                <w:szCs w:val="18"/>
                <w:lang w:val="ro-RO" w:eastAsia="ro-RO"/>
              </w:rPr>
              <w:t xml:space="preserve"> (ianuarie 2013): 22-23.</w:t>
            </w:r>
          </w:p>
          <w:p w14:paraId="6E45105A" w14:textId="2ACCC561" w:rsidR="00DC534B" w:rsidRPr="00591F04" w:rsidRDefault="00DC534B" w:rsidP="00DE67A5">
            <w:pPr>
              <w:pStyle w:val="NoSpacing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“Assumpta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est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Maria in </w:t>
            </w:r>
            <w:proofErr w:type="spellStart"/>
            <w:r w:rsidR="00051BCC" w:rsidRPr="00591F04">
              <w:rPr>
                <w:color w:val="auto"/>
                <w:sz w:val="18"/>
                <w:szCs w:val="18"/>
                <w:lang w:val="en-US" w:eastAsia="ro-RO"/>
              </w:rPr>
              <w:t>coelu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m</w:t>
            </w:r>
            <w:proofErr w:type="spellEnd"/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”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Semnele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timpului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23/12 (2012): 78-79</w:t>
            </w:r>
            <w:r w:rsidR="001C0876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</w:p>
          <w:p w14:paraId="6A914DCC" w14:textId="0733ADF6" w:rsidR="005B7161" w:rsidRPr="00591F04" w:rsidRDefault="005B7161" w:rsidP="00DC534B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 w:eastAsia="ro-RO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>“Atanasie, ap</w:t>
            </w:r>
            <w:proofErr w:type="spellStart"/>
            <w:r w:rsidRPr="00591F04">
              <w:rPr>
                <w:color w:val="auto"/>
                <w:sz w:val="18"/>
                <w:szCs w:val="18"/>
                <w:lang w:val="ro-RO" w:eastAsia="ro-RO"/>
              </w:rPr>
              <w:t>ărătorul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Noului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Testament</w:t>
            </w:r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(“Athanasius, the NT Defender”).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Semnele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timpului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22/120</w:t>
            </w:r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(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decembrie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2011): 18-19.</w:t>
            </w:r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</w:p>
          <w:p w14:paraId="63626F49" w14:textId="6C44A4D0" w:rsidR="00051BCC" w:rsidRPr="00591F04" w:rsidRDefault="00051BCC" w:rsidP="00DC534B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“Cu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spatele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la 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Infinit</w:t>
            </w:r>
            <w:proofErr w:type="spellEnd"/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>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”</w:t>
            </w:r>
            <w:r w:rsidR="003A048C"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(“Turning the Back to the Infinite”).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Semnele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>timpului</w:t>
            </w:r>
            <w:proofErr w:type="spellEnd"/>
            <w:r w:rsidRPr="00591F04">
              <w:rPr>
                <w:i/>
                <w:color w:val="auto"/>
                <w:sz w:val="18"/>
                <w:szCs w:val="18"/>
                <w:lang w:val="en-US" w:eastAsia="ro-RO"/>
              </w:rPr>
              <w:t xml:space="preserve"> </w:t>
            </w:r>
            <w:r w:rsidRPr="00591F04">
              <w:rPr>
                <w:color w:val="auto"/>
                <w:sz w:val="18"/>
                <w:szCs w:val="18"/>
                <w:lang w:val="en-US" w:eastAsia="ro-RO"/>
              </w:rPr>
              <w:t>21/4 (</w:t>
            </w:r>
            <w:proofErr w:type="spellStart"/>
            <w:r w:rsidRPr="00591F04">
              <w:rPr>
                <w:color w:val="auto"/>
                <w:sz w:val="18"/>
                <w:szCs w:val="18"/>
                <w:lang w:val="en-US" w:eastAsia="ro-RO"/>
              </w:rPr>
              <w:t>aprilie</w:t>
            </w:r>
            <w:proofErr w:type="spellEnd"/>
            <w:r w:rsidRPr="00591F04">
              <w:rPr>
                <w:color w:val="auto"/>
                <w:sz w:val="18"/>
                <w:szCs w:val="18"/>
                <w:lang w:val="en-US" w:eastAsia="ro-RO"/>
              </w:rPr>
              <w:t xml:space="preserve"> 2010): 104-109.</w:t>
            </w:r>
            <w:bookmarkEnd w:id="1"/>
          </w:p>
        </w:tc>
      </w:tr>
      <w:tr w:rsidR="00C557A1" w:rsidRPr="00C557A1" w14:paraId="5013A68E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9D3D13B" w14:textId="1561222F" w:rsidR="004D6F81" w:rsidRPr="00C557A1" w:rsidRDefault="004D6F81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2021</w:t>
            </w:r>
          </w:p>
          <w:p w14:paraId="4A692CB5" w14:textId="3FE4E81B" w:rsidR="004D6F81" w:rsidRPr="00C557A1" w:rsidRDefault="004D6F81">
            <w:pPr>
              <w:pStyle w:val="ECVLeftDetails"/>
              <w:rPr>
                <w:color w:val="auto"/>
                <w:lang w:val="ro-RO"/>
              </w:rPr>
            </w:pPr>
          </w:p>
          <w:p w14:paraId="4BA9312B" w14:textId="4617E790" w:rsidR="004D6F81" w:rsidRPr="00C557A1" w:rsidRDefault="004D6F81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2021</w:t>
            </w:r>
          </w:p>
          <w:p w14:paraId="016854EE" w14:textId="77777777" w:rsidR="000B265D" w:rsidRPr="00C557A1" w:rsidRDefault="000B265D">
            <w:pPr>
              <w:pStyle w:val="ECVLeftDetails"/>
              <w:rPr>
                <w:color w:val="auto"/>
                <w:lang w:val="ro-RO"/>
              </w:rPr>
            </w:pPr>
          </w:p>
          <w:p w14:paraId="04DF4B95" w14:textId="437BDA09" w:rsidR="00353BEF" w:rsidRPr="00C557A1" w:rsidRDefault="00353BEF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2020</w:t>
            </w:r>
          </w:p>
          <w:p w14:paraId="4CDA9701" w14:textId="77777777" w:rsidR="009D561D" w:rsidRPr="00C557A1" w:rsidRDefault="009D561D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2019</w:t>
            </w:r>
          </w:p>
          <w:p w14:paraId="78DFEF0E" w14:textId="77777777" w:rsidR="00633C6A" w:rsidRPr="00C557A1" w:rsidRDefault="00633C6A">
            <w:pPr>
              <w:pStyle w:val="ECVLeftDetails"/>
              <w:rPr>
                <w:color w:val="auto"/>
                <w:lang w:val="ro-RO"/>
              </w:rPr>
            </w:pPr>
          </w:p>
          <w:p w14:paraId="41E2E94B" w14:textId="77777777" w:rsidR="00633C6A" w:rsidRPr="00C557A1" w:rsidRDefault="00633C6A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  <w:lang w:val="ro-RO"/>
              </w:rPr>
              <w:t>2019</w:t>
            </w:r>
          </w:p>
        </w:tc>
        <w:tc>
          <w:tcPr>
            <w:tcW w:w="7496" w:type="dxa"/>
            <w:shd w:val="clear" w:color="auto" w:fill="auto"/>
          </w:tcPr>
          <w:p w14:paraId="65AF52EB" w14:textId="39192ABA" w:rsidR="004D6F81" w:rsidRPr="00C557A1" w:rsidRDefault="004D6F81" w:rsidP="004D6F81">
            <w:pPr>
              <w:pStyle w:val="NoSpacing"/>
              <w:ind w:left="567" w:hanging="567"/>
              <w:rPr>
                <w:i/>
                <w:color w:val="auto"/>
                <w:sz w:val="18"/>
                <w:lang w:val="ro-RO"/>
              </w:rPr>
            </w:pPr>
            <w:bookmarkStart w:id="2" w:name="_Hlk81466966"/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Readings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Revelation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(202</w:t>
            </w:r>
            <w:r w:rsidR="000B265D" w:rsidRPr="00C557A1">
              <w:rPr>
                <w:color w:val="auto"/>
                <w:sz w:val="18"/>
                <w:lang w:val="ro-RO"/>
              </w:rPr>
              <w:t>1</w:t>
            </w:r>
            <w:r w:rsidRPr="00C557A1">
              <w:rPr>
                <w:color w:val="auto"/>
                <w:sz w:val="18"/>
                <w:lang w:val="ro-RO"/>
              </w:rPr>
              <w:t>)</w:t>
            </w:r>
          </w:p>
          <w:p w14:paraId="1C826476" w14:textId="20A525A6" w:rsidR="004D6F81" w:rsidRPr="00C557A1" w:rsidRDefault="00416D87" w:rsidP="005C7A37">
            <w:pPr>
              <w:pStyle w:val="NoSpacing"/>
              <w:ind w:left="567" w:hanging="567"/>
              <w:rPr>
                <w:i/>
                <w:color w:val="auto"/>
                <w:sz w:val="18"/>
                <w:lang w:val="ro-RO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Theology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of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English NT</w:t>
            </w:r>
            <w:r w:rsidRPr="00C557A1">
              <w:rPr>
                <w:color w:val="auto"/>
                <w:sz w:val="18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 at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</w:t>
            </w:r>
            <w:r w:rsidR="000B265D" w:rsidRPr="00C557A1">
              <w:rPr>
                <w:color w:val="auto"/>
                <w:sz w:val="18"/>
                <w:lang w:val="ro-RO"/>
              </w:rPr>
              <w:t>21</w:t>
            </w:r>
            <w:r w:rsidRPr="00C557A1">
              <w:rPr>
                <w:color w:val="auto"/>
                <w:sz w:val="18"/>
                <w:lang w:val="ro-RO"/>
              </w:rPr>
              <w:t>)</w:t>
            </w:r>
          </w:p>
          <w:bookmarkEnd w:id="2"/>
          <w:p w14:paraId="391CA9CE" w14:textId="5E1267D0" w:rsidR="00353BEF" w:rsidRPr="00C557A1" w:rsidRDefault="00353BEF" w:rsidP="005C7A37">
            <w:pPr>
              <w:pStyle w:val="NoSpacing"/>
              <w:ind w:left="567" w:hanging="567"/>
              <w:rPr>
                <w:i/>
                <w:color w:val="auto"/>
                <w:sz w:val="18"/>
                <w:lang w:val="ro-RO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Readings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Revelation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(2020)</w:t>
            </w:r>
          </w:p>
          <w:p w14:paraId="1BAB0939" w14:textId="77777777" w:rsidR="009D561D" w:rsidRPr="00C557A1" w:rsidRDefault="009D561D" w:rsidP="005C7A37">
            <w:pPr>
              <w:pStyle w:val="NoSpacing"/>
              <w:ind w:left="567" w:hanging="567"/>
              <w:rPr>
                <w:color w:val="auto"/>
                <w:sz w:val="18"/>
                <w:lang w:val="ro-RO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Methods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Biblical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and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Theological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Research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(2019)</w:t>
            </w:r>
          </w:p>
          <w:p w14:paraId="0B8D8AD4" w14:textId="77777777" w:rsidR="00633C6A" w:rsidRPr="00C557A1" w:rsidRDefault="00633C6A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Readings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Revelation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(2019)</w:t>
            </w:r>
          </w:p>
        </w:tc>
      </w:tr>
      <w:tr w:rsidR="00C557A1" w:rsidRPr="00C557A1" w14:paraId="7EC6577D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CE970A0" w14:textId="77777777" w:rsidR="009D561D" w:rsidRPr="00C557A1" w:rsidRDefault="009D561D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t>2018</w:t>
            </w:r>
          </w:p>
          <w:p w14:paraId="42927833" w14:textId="77777777" w:rsidR="00633C6A" w:rsidRPr="00C557A1" w:rsidRDefault="00633C6A">
            <w:pPr>
              <w:pStyle w:val="ECVLeftDetails"/>
              <w:rPr>
                <w:color w:val="auto"/>
                <w:lang w:val="ro-RO"/>
              </w:rPr>
            </w:pPr>
          </w:p>
          <w:p w14:paraId="081A20B6" w14:textId="77777777" w:rsidR="00633C6A" w:rsidRPr="00C557A1" w:rsidRDefault="00633C6A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  <w:lang w:val="ro-RO"/>
              </w:rPr>
              <w:t>2018</w:t>
            </w:r>
          </w:p>
        </w:tc>
        <w:tc>
          <w:tcPr>
            <w:tcW w:w="7496" w:type="dxa"/>
            <w:shd w:val="clear" w:color="auto" w:fill="auto"/>
          </w:tcPr>
          <w:p w14:paraId="6D6593F9" w14:textId="77777777" w:rsidR="00633C6A" w:rsidRPr="00C557A1" w:rsidRDefault="00633C6A" w:rsidP="005C7A37">
            <w:pPr>
              <w:pStyle w:val="NoSpacing"/>
              <w:ind w:left="567" w:hanging="567"/>
              <w:rPr>
                <w:i/>
                <w:color w:val="auto"/>
                <w:sz w:val="18"/>
                <w:lang w:val="ro-RO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Methods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Biblical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and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Theological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Research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(2018)</w:t>
            </w:r>
          </w:p>
          <w:p w14:paraId="6CEA9796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Readings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in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Revelation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r w:rsidRPr="00C557A1">
              <w:rPr>
                <w:color w:val="auto"/>
                <w:sz w:val="18"/>
                <w:lang w:val="ro-RO"/>
              </w:rPr>
              <w:t xml:space="preserve">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(2018)</w:t>
            </w:r>
          </w:p>
        </w:tc>
      </w:tr>
      <w:tr w:rsidR="00C557A1" w:rsidRPr="00C557A1" w14:paraId="3CA1CDF8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A175C4F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  <w:lang w:val="ro-RO"/>
              </w:rPr>
              <w:t>2017</w:t>
            </w:r>
          </w:p>
        </w:tc>
        <w:tc>
          <w:tcPr>
            <w:tcW w:w="7496" w:type="dxa"/>
            <w:shd w:val="clear" w:color="auto" w:fill="auto"/>
          </w:tcPr>
          <w:p w14:paraId="0D3D0CF5" w14:textId="77777777" w:rsidR="009D561D" w:rsidRPr="00C557A1" w:rsidRDefault="009D561D" w:rsidP="009D561D">
            <w:pPr>
              <w:pStyle w:val="ECVSectionDetails"/>
              <w:rPr>
                <w:i/>
                <w:color w:val="auto"/>
                <w:lang w:val="ro-RO"/>
              </w:rPr>
            </w:pPr>
            <w:proofErr w:type="spellStart"/>
            <w:r w:rsidRPr="00C557A1">
              <w:rPr>
                <w:i/>
                <w:color w:val="auto"/>
                <w:lang w:val="ro-RO"/>
              </w:rPr>
              <w:t>Research</w:t>
            </w:r>
            <w:proofErr w:type="spellEnd"/>
            <w:r w:rsidRPr="00C557A1">
              <w:rPr>
                <w:i/>
                <w:color w:val="auto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lang w:val="ro-RO"/>
              </w:rPr>
              <w:t>Methods</w:t>
            </w:r>
            <w:proofErr w:type="spellEnd"/>
            <w:r w:rsidRPr="00C557A1">
              <w:rPr>
                <w:color w:val="auto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lang w:val="ro-RO"/>
              </w:rPr>
              <w:t>) at Andrews University, Cernica (</w:t>
            </w:r>
            <w:proofErr w:type="spellStart"/>
            <w:r w:rsidRPr="00C557A1">
              <w:rPr>
                <w:color w:val="auto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lang w:val="ro-RO"/>
              </w:rPr>
              <w:t xml:space="preserve"> site), Romania (2017)</w:t>
            </w:r>
          </w:p>
          <w:p w14:paraId="7A26C6B4" w14:textId="77777777" w:rsidR="009D561D" w:rsidRPr="00C557A1" w:rsidRDefault="009D561D" w:rsidP="009D561D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Theology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of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English NT</w:t>
            </w:r>
            <w:r w:rsidRPr="00C557A1">
              <w:rPr>
                <w:color w:val="auto"/>
                <w:sz w:val="18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 at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(2017)</w:t>
            </w:r>
          </w:p>
        </w:tc>
      </w:tr>
      <w:tr w:rsidR="00C557A1" w:rsidRPr="00C557A1" w14:paraId="0AE0C61E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6677032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  <w:lang w:val="ro-RO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6948047B" w14:textId="77777777" w:rsidR="009D561D" w:rsidRPr="00C557A1" w:rsidRDefault="009D561D" w:rsidP="00633C6A">
            <w:pPr>
              <w:pStyle w:val="ECVSectionDetails"/>
              <w:rPr>
                <w:rFonts w:cs="Arial"/>
                <w:color w:val="auto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lang w:val="ro-RO"/>
              </w:rPr>
              <w:t>Research</w:t>
            </w:r>
            <w:proofErr w:type="spellEnd"/>
            <w:r w:rsidRPr="00C557A1">
              <w:rPr>
                <w:i/>
                <w:color w:val="auto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lang w:val="ro-RO"/>
              </w:rPr>
              <w:t>Methods</w:t>
            </w:r>
            <w:proofErr w:type="spellEnd"/>
            <w:r w:rsidRPr="00C557A1">
              <w:rPr>
                <w:color w:val="auto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lang w:val="ro-RO"/>
              </w:rPr>
              <w:t>) at Andrews University, Cernica (</w:t>
            </w:r>
            <w:proofErr w:type="spellStart"/>
            <w:r w:rsidRPr="00C557A1">
              <w:rPr>
                <w:color w:val="auto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lang w:val="ro-RO"/>
              </w:rPr>
              <w:t xml:space="preserve"> site), Romania (2016)</w:t>
            </w:r>
          </w:p>
        </w:tc>
      </w:tr>
      <w:tr w:rsidR="00C557A1" w:rsidRPr="00C557A1" w14:paraId="7073B43E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C1D21CC" w14:textId="77777777" w:rsidR="009D561D" w:rsidRPr="00C557A1" w:rsidRDefault="009D561D">
            <w:pPr>
              <w:pStyle w:val="ECVLeftDetails"/>
              <w:rPr>
                <w:color w:val="auto"/>
                <w:lang w:val="ro-RO"/>
              </w:rPr>
            </w:pPr>
            <w:r w:rsidRPr="00C557A1">
              <w:rPr>
                <w:color w:val="auto"/>
                <w:lang w:val="ro-RO"/>
              </w:rPr>
              <w:lastRenderedPageBreak/>
              <w:t>2016</w:t>
            </w:r>
          </w:p>
        </w:tc>
        <w:tc>
          <w:tcPr>
            <w:tcW w:w="7496" w:type="dxa"/>
            <w:shd w:val="clear" w:color="auto" w:fill="auto"/>
          </w:tcPr>
          <w:p w14:paraId="34A67217" w14:textId="77777777" w:rsidR="009D561D" w:rsidRPr="00C557A1" w:rsidRDefault="009D561D" w:rsidP="009D561D">
            <w:pPr>
              <w:pStyle w:val="ECVSectionDetails"/>
              <w:rPr>
                <w:i/>
                <w:color w:val="auto"/>
                <w:lang w:val="ro-RO"/>
              </w:rPr>
            </w:pPr>
            <w:proofErr w:type="spellStart"/>
            <w:r w:rsidRPr="00C557A1">
              <w:rPr>
                <w:i/>
                <w:color w:val="auto"/>
                <w:lang w:val="ro-RO"/>
              </w:rPr>
              <w:t>Theology</w:t>
            </w:r>
            <w:proofErr w:type="spellEnd"/>
            <w:r w:rsidRPr="00C557A1">
              <w:rPr>
                <w:i/>
                <w:color w:val="auto"/>
                <w:lang w:val="ro-RO"/>
              </w:rPr>
              <w:t xml:space="preserve"> of </w:t>
            </w:r>
            <w:proofErr w:type="spellStart"/>
            <w:r w:rsidRPr="00C557A1">
              <w:rPr>
                <w:i/>
                <w:color w:val="auto"/>
                <w:lang w:val="ro-RO"/>
              </w:rPr>
              <w:t>the</w:t>
            </w:r>
            <w:proofErr w:type="spellEnd"/>
            <w:r w:rsidRPr="00C557A1">
              <w:rPr>
                <w:i/>
                <w:color w:val="auto"/>
                <w:lang w:val="ro-RO"/>
              </w:rPr>
              <w:t xml:space="preserve"> English NT</w:t>
            </w:r>
            <w:r w:rsidRPr="00C557A1">
              <w:rPr>
                <w:color w:val="auto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lang w:val="ro-RO"/>
              </w:rPr>
              <w:t>)  at Andrews University, Cernica (</w:t>
            </w:r>
            <w:proofErr w:type="spellStart"/>
            <w:r w:rsidRPr="00C557A1">
              <w:rPr>
                <w:color w:val="auto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lang w:val="ro-RO"/>
              </w:rPr>
              <w:t xml:space="preserve"> site), Romania (2016)</w:t>
            </w:r>
          </w:p>
        </w:tc>
      </w:tr>
      <w:tr w:rsidR="00C557A1" w:rsidRPr="00C557A1" w14:paraId="1C3CB54F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1D6B133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  <w:lang w:val="ro-RO"/>
              </w:rPr>
              <w:t>2016</w:t>
            </w:r>
          </w:p>
        </w:tc>
        <w:tc>
          <w:tcPr>
            <w:tcW w:w="7496" w:type="dxa"/>
            <w:shd w:val="clear" w:color="auto" w:fill="auto"/>
          </w:tcPr>
          <w:p w14:paraId="4458C2F9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Advanced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Syntax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and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Semantics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of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Biblical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Greek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PhD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),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Universidad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Adventista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del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Plata,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Libertador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de San Martin, Argentina (2016)</w:t>
            </w:r>
          </w:p>
        </w:tc>
      </w:tr>
      <w:tr w:rsidR="00C557A1" w:rsidRPr="00C557A1" w14:paraId="2B06EF1D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0044BEC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rFonts w:cs="Arial"/>
                <w:color w:val="auto"/>
                <w:szCs w:val="18"/>
                <w:shd w:val="clear" w:color="auto" w:fill="FFFFFF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1FE18DBB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Synoptic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Gospels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(BA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) at </w:t>
            </w:r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Ukrainian Adventist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>Center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shd w:val="clear" w:color="auto" w:fill="FFFFFF"/>
              </w:rPr>
              <w:t xml:space="preserve"> of Higher Education, Bucha, Kiev Region, Ukraine (2014)</w:t>
            </w:r>
          </w:p>
        </w:tc>
      </w:tr>
      <w:tr w:rsidR="00C557A1" w:rsidRPr="00C557A1" w14:paraId="421F36BB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40FFD82" w14:textId="77777777" w:rsidR="009D561D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rFonts w:cs="Arial"/>
                <w:color w:val="auto"/>
                <w:szCs w:val="18"/>
                <w:shd w:val="clear" w:color="auto" w:fill="FFFFFF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347D3321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Research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Methods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(MAR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>) at Andrews University, Cernica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extension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site), Romania (2014)</w:t>
            </w:r>
          </w:p>
        </w:tc>
      </w:tr>
      <w:tr w:rsidR="00C557A1" w:rsidRPr="00C557A1" w14:paraId="7971FDB3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4283712F" w14:textId="77777777" w:rsidR="009D561D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rFonts w:cs="Arial"/>
                <w:color w:val="auto"/>
                <w:szCs w:val="18"/>
                <w:shd w:val="clear" w:color="auto" w:fill="FFFFFF"/>
              </w:rPr>
              <w:t>2014</w:t>
            </w:r>
          </w:p>
        </w:tc>
        <w:tc>
          <w:tcPr>
            <w:tcW w:w="7496" w:type="dxa"/>
            <w:shd w:val="clear" w:color="auto" w:fill="auto"/>
          </w:tcPr>
          <w:p w14:paraId="4799FC54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Advanced</w:t>
            </w:r>
            <w:proofErr w:type="spellEnd"/>
            <w:r w:rsidRPr="00C557A1">
              <w:rPr>
                <w:i/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i/>
                <w:color w:val="auto"/>
                <w:sz w:val="18"/>
                <w:lang w:val="ro-RO"/>
              </w:rPr>
              <w:t>Greek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(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PhD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course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) at Adventist International Institute of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Advanced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Studies,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Silang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,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Cavite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, </w:t>
            </w:r>
            <w:proofErr w:type="spellStart"/>
            <w:r w:rsidRPr="00C557A1">
              <w:rPr>
                <w:color w:val="auto"/>
                <w:sz w:val="18"/>
                <w:lang w:val="ro-RO"/>
              </w:rPr>
              <w:t>Philippines</w:t>
            </w:r>
            <w:proofErr w:type="spellEnd"/>
            <w:r w:rsidRPr="00C557A1">
              <w:rPr>
                <w:color w:val="auto"/>
                <w:sz w:val="18"/>
                <w:lang w:val="ro-RO"/>
              </w:rPr>
              <w:t xml:space="preserve"> (2014)</w:t>
            </w:r>
          </w:p>
        </w:tc>
      </w:tr>
    </w:tbl>
    <w:p w14:paraId="251EBE68" w14:textId="77777777" w:rsidR="00633C6A" w:rsidRPr="00C557A1" w:rsidRDefault="00633C6A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496"/>
      </w:tblGrid>
      <w:tr w:rsidR="00C557A1" w:rsidRPr="00C557A1" w14:paraId="5B1B16A2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77B515B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  <w:r w:rsidRPr="00C557A1">
              <w:rPr>
                <w:color w:val="auto"/>
              </w:rPr>
              <w:t>Conferences</w:t>
            </w:r>
          </w:p>
        </w:tc>
        <w:tc>
          <w:tcPr>
            <w:tcW w:w="7496" w:type="dxa"/>
            <w:shd w:val="clear" w:color="auto" w:fill="auto"/>
          </w:tcPr>
          <w:p w14:paraId="40ECE507" w14:textId="77777777" w:rsidR="009D561D" w:rsidRPr="00C557A1" w:rsidRDefault="009D561D" w:rsidP="00633C6A">
            <w:pPr>
              <w:pStyle w:val="NoSpacing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4DC018FE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39401D91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6BBB1FE9" w14:textId="77777777" w:rsidR="006A0DCB" w:rsidRPr="00C557A1" w:rsidRDefault="006A0DCB" w:rsidP="005C7A37">
            <w:pPr>
              <w:pStyle w:val="NoSpacing"/>
              <w:ind w:left="567" w:hanging="567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Participations at international conferences in Romania.</w:t>
            </w:r>
          </w:p>
          <w:p w14:paraId="44774BE8" w14:textId="7C6D314E" w:rsidR="002159C8" w:rsidRPr="00C557A1" w:rsidRDefault="00881E26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Verbul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pleroo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în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Apoc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6,11 - un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studiu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lexicographic.”</w:t>
            </w:r>
            <w:r w:rsidR="008246FA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8246FA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Simpozion</w:t>
            </w:r>
            <w:proofErr w:type="spellEnd"/>
            <w:r w:rsidR="008246FA"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international MLD, Iasi, 2021.</w:t>
            </w:r>
          </w:p>
          <w:p w14:paraId="42CF788C" w14:textId="778E77DC" w:rsidR="006B1E09" w:rsidRPr="00C557A1" w:rsidRDefault="00745BAF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“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Învățare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și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dezvățare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în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educația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teologică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”</w:t>
            </w:r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. </w:t>
            </w:r>
            <w:r w:rsidR="006B1E09" w:rsidRPr="00C557A1">
              <w:rPr>
                <w:color w:val="auto"/>
                <w:lang w:val="fr-FR"/>
              </w:rPr>
              <w:t xml:space="preserve"> </w:t>
            </w:r>
            <w:proofErr w:type="spellStart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Simpozion</w:t>
            </w:r>
            <w:proofErr w:type="spellEnd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international la </w:t>
            </w:r>
            <w:proofErr w:type="spellStart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Centrul</w:t>
            </w:r>
            <w:proofErr w:type="spellEnd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Sfintii</w:t>
            </w:r>
            <w:proofErr w:type="spellEnd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 xml:space="preserve"> Petru si Andrei, </w:t>
            </w:r>
            <w:proofErr w:type="spellStart"/>
            <w:r w:rsidR="006B1E09" w:rsidRPr="00C557A1">
              <w:rPr>
                <w:rFonts w:cs="Arial"/>
                <w:color w:val="auto"/>
                <w:sz w:val="18"/>
                <w:szCs w:val="18"/>
                <w:lang w:val="fr-FR"/>
              </w:rPr>
              <w:t>Bucure</w:t>
            </w:r>
            <w:proofErr w:type="spellEnd"/>
            <w:r w:rsidR="006B1E09" w:rsidRPr="00C557A1">
              <w:rPr>
                <w:rFonts w:cs="Arial"/>
                <w:color w:val="auto"/>
                <w:sz w:val="18"/>
                <w:szCs w:val="18"/>
                <w:lang w:val="ro-RO"/>
              </w:rPr>
              <w:t>ști, 2019.</w:t>
            </w:r>
          </w:p>
          <w:p w14:paraId="04C41E7E" w14:textId="6E04A233" w:rsidR="009D561D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“The Time is at Hand”: Revisiting the NT Language of Nearness in Reference to the Second Coming of Jesus”.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>Simpozion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  <w:lang w:val="en-US"/>
              </w:rPr>
              <w:t xml:space="preserve"> international MLD, Iasi, 2018.</w:t>
            </w:r>
          </w:p>
          <w:p w14:paraId="72D26A2A" w14:textId="77777777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The Time is at Hand”: Revisiting the language of nearness in the New Testament. Duplex Conference Oxford-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Cernica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>, 2017.</w:t>
            </w:r>
          </w:p>
          <w:p w14:paraId="0D3FB569" w14:textId="77777777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“You will see the Son of Man coming”: The Sanhedrin and the nearness of the Parousia. 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Simpozion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 xml:space="preserve"> international MLD, Iasi, 2017.</w:t>
            </w:r>
          </w:p>
          <w:p w14:paraId="601F4333" w14:textId="5969E89F" w:rsidR="006A0DCB" w:rsidRPr="00C557A1" w:rsidRDefault="007B5736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</w:t>
            </w:r>
            <w:r w:rsidR="006A0DCB" w:rsidRPr="00C557A1">
              <w:rPr>
                <w:color w:val="auto"/>
                <w:sz w:val="18"/>
                <w:szCs w:val="18"/>
                <w:lang w:val="en-US"/>
              </w:rPr>
              <w:t xml:space="preserve">Mapping the Temple Furniture: To </w:t>
            </w:r>
            <w:proofErr w:type="spellStart"/>
            <w:r w:rsidR="006A0DCB" w:rsidRPr="00C557A1">
              <w:rPr>
                <w:color w:val="auto"/>
                <w:sz w:val="18"/>
                <w:szCs w:val="18"/>
                <w:lang w:val="en-US"/>
              </w:rPr>
              <w:t>Thumiaterion</w:t>
            </w:r>
            <w:proofErr w:type="spellEnd"/>
            <w:r w:rsidR="006A0DCB" w:rsidRPr="00C557A1">
              <w:rPr>
                <w:color w:val="auto"/>
                <w:sz w:val="18"/>
                <w:szCs w:val="18"/>
                <w:lang w:val="en-US"/>
              </w:rPr>
              <w:t xml:space="preserve"> in the Romanian Translations of the NT.” </w:t>
            </w:r>
            <w:proofErr w:type="spellStart"/>
            <w:r w:rsidR="006A0DCB" w:rsidRPr="00C557A1">
              <w:rPr>
                <w:color w:val="auto"/>
                <w:sz w:val="18"/>
                <w:szCs w:val="18"/>
                <w:lang w:val="en-US"/>
              </w:rPr>
              <w:t>Simpozion</w:t>
            </w:r>
            <w:proofErr w:type="spellEnd"/>
            <w:r w:rsidR="006A0DCB" w:rsidRPr="00C557A1">
              <w:rPr>
                <w:color w:val="auto"/>
                <w:sz w:val="18"/>
                <w:szCs w:val="18"/>
                <w:lang w:val="en-US"/>
              </w:rPr>
              <w:t xml:space="preserve"> international MLD, Iasi, 2016.</w:t>
            </w:r>
          </w:p>
          <w:p w14:paraId="2A61F55D" w14:textId="77777777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“Hastening the Parousia in the Romanian Translations of 2 Peter 3:12.” 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Simpozion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 xml:space="preserve"> international MLD, </w:t>
            </w:r>
            <w:r w:rsidRPr="00C557A1">
              <w:rPr>
                <w:color w:val="auto"/>
                <w:sz w:val="18"/>
                <w:szCs w:val="18"/>
                <w:lang w:val="ro-RO"/>
              </w:rPr>
              <w:t>Iași, 2015.</w:t>
            </w:r>
          </w:p>
          <w:p w14:paraId="0B0EB19A" w14:textId="77777777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Two papers for “The Power to Be Different Conference,” Timi</w:t>
            </w:r>
            <w:proofErr w:type="spellStart"/>
            <w:r w:rsidRPr="00C557A1">
              <w:rPr>
                <w:color w:val="auto"/>
                <w:sz w:val="18"/>
                <w:szCs w:val="18"/>
                <w:lang w:val="ro-RO"/>
              </w:rPr>
              <w:t>șoara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>, Oct 2014. (1) “Christian Freedom and Its Boundaries in 1 Corinthians 6:12 and 10:23” and (2) “Nominative in Apposition to an Oblique Case in the Discourse of Mark 7.”</w:t>
            </w:r>
          </w:p>
        </w:tc>
      </w:tr>
      <w:tr w:rsidR="00C557A1" w:rsidRPr="00C557A1" w14:paraId="19151E15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5D8B9D04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50138D00" w14:textId="77777777" w:rsidR="009D561D" w:rsidRPr="00C557A1" w:rsidRDefault="009D561D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53AB84C8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5A2FC061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74F41E47" w14:textId="77777777" w:rsidR="006A0DCB" w:rsidRPr="00C557A1" w:rsidRDefault="006A0DCB" w:rsidP="006A0DCB">
            <w:pPr>
              <w:pStyle w:val="ECVSectionBullet"/>
              <w:ind w:left="90"/>
              <w:rPr>
                <w:color w:val="auto"/>
                <w:szCs w:val="18"/>
                <w:lang w:val="en-US"/>
              </w:rPr>
            </w:pPr>
            <w:r w:rsidRPr="00C557A1">
              <w:rPr>
                <w:color w:val="auto"/>
                <w:szCs w:val="18"/>
                <w:lang w:val="en-US"/>
              </w:rPr>
              <w:t xml:space="preserve">Participations at annual and international conferences of Society of Biblical Literature. </w:t>
            </w:r>
          </w:p>
          <w:p w14:paraId="5050DFE7" w14:textId="5A288AC6" w:rsidR="006D786E" w:rsidRPr="00C557A1" w:rsidRDefault="001C0AA1" w:rsidP="006D786E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“Until the number of the martyrs is fulfilled - 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lexicograffic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 xml:space="preserve"> gaffe.” SBL</w:t>
            </w:r>
            <w:r w:rsidR="005003ED" w:rsidRPr="00C557A1">
              <w:rPr>
                <w:color w:val="auto"/>
                <w:sz w:val="18"/>
                <w:szCs w:val="18"/>
                <w:lang w:val="en-US"/>
              </w:rPr>
              <w:t>, Online, 2020.</w:t>
            </w:r>
          </w:p>
          <w:p w14:paraId="1D2BE538" w14:textId="37659D50" w:rsidR="006D786E" w:rsidRPr="00C557A1" w:rsidRDefault="006D786E" w:rsidP="006D786E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“Discourse Analysis and the Levels of Intentionality in Text Production.”  SBL, Boston, 2017.</w:t>
            </w:r>
          </w:p>
          <w:p w14:paraId="64244EFE" w14:textId="77777777" w:rsidR="006D786E" w:rsidRPr="00C557A1" w:rsidRDefault="006D786E" w:rsidP="006D786E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“When Hapax Legomena Are Exegetically Important.” SBL, Boston, 2017.</w:t>
            </w:r>
          </w:p>
          <w:p w14:paraId="13B69896" w14:textId="77777777" w:rsidR="006D786E" w:rsidRPr="00C557A1" w:rsidRDefault="006D786E" w:rsidP="006D786E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“Koinos in Rom 14:14 – A Study in Semantics, Pragmatics, and Greek Lexicography,” SBL, San Antonio, 2016.</w:t>
            </w:r>
          </w:p>
          <w:p w14:paraId="7C933BAF" w14:textId="77777777" w:rsidR="006D786E" w:rsidRPr="00C557A1" w:rsidRDefault="006D786E" w:rsidP="006D786E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“Semitic Influence in the Use of NT Greek Prepositions: The Case of the Book of Revelation.” SBL, Atlanta, 2015.</w:t>
            </w:r>
          </w:p>
          <w:p w14:paraId="543A9037" w14:textId="07DA2E31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“Prepositional Irregularities in the Book of Revelation.” Vienna, July 2014.</w:t>
            </w:r>
          </w:p>
          <w:p w14:paraId="65A05A0D" w14:textId="77777777" w:rsidR="009D561D" w:rsidRPr="00C557A1" w:rsidRDefault="009D561D" w:rsidP="006D786E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5319918D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7611C13F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222F90DD" w14:textId="77777777" w:rsidR="006A0DCB" w:rsidRPr="00C557A1" w:rsidRDefault="006A0DCB" w:rsidP="006A0DCB">
            <w:pPr>
              <w:pStyle w:val="ECVSectionBullet"/>
              <w:rPr>
                <w:color w:val="auto"/>
                <w:szCs w:val="18"/>
              </w:rPr>
            </w:pPr>
            <w:r w:rsidRPr="00C557A1">
              <w:rPr>
                <w:color w:val="auto"/>
                <w:szCs w:val="18"/>
              </w:rPr>
              <w:t>Participations at European Theology Teachers Convention.</w:t>
            </w:r>
          </w:p>
          <w:p w14:paraId="20BC05BF" w14:textId="19FF3AD2" w:rsidR="008278C2" w:rsidRPr="00C557A1" w:rsidRDefault="008278C2" w:rsidP="006A0DCB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</w:t>
            </w:r>
            <w:r w:rsidRPr="00C557A1">
              <w:rPr>
                <w:color w:val="auto"/>
                <w:sz w:val="18"/>
                <w:szCs w:val="18"/>
              </w:rPr>
              <w:t xml:space="preserve">The Great Reset between utopia and programmatic prophecy in light of the Johannine apocalyptic eschatology.” </w:t>
            </w:r>
            <w:proofErr w:type="spellStart"/>
            <w:r w:rsidR="009048F9" w:rsidRPr="00C557A1">
              <w:rPr>
                <w:color w:val="auto"/>
                <w:sz w:val="18"/>
                <w:szCs w:val="18"/>
              </w:rPr>
              <w:t>Friedensau</w:t>
            </w:r>
            <w:proofErr w:type="spellEnd"/>
            <w:r w:rsidR="002E54F6" w:rsidRPr="00C557A1">
              <w:rPr>
                <w:color w:val="auto"/>
                <w:sz w:val="18"/>
                <w:szCs w:val="18"/>
              </w:rPr>
              <w:t>, May</w:t>
            </w:r>
            <w:r w:rsidRPr="00C557A1">
              <w:rPr>
                <w:color w:val="auto"/>
                <w:sz w:val="18"/>
                <w:szCs w:val="18"/>
              </w:rPr>
              <w:t xml:space="preserve"> 2021</w:t>
            </w:r>
            <w:r w:rsidR="002E54F6" w:rsidRPr="00C557A1">
              <w:rPr>
                <w:color w:val="auto"/>
                <w:sz w:val="18"/>
                <w:szCs w:val="18"/>
              </w:rPr>
              <w:t>.</w:t>
            </w:r>
          </w:p>
          <w:p w14:paraId="2F6865E3" w14:textId="606FC92C" w:rsidR="009D561D" w:rsidRPr="00C557A1" w:rsidRDefault="00B357D2" w:rsidP="003B2C40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C557A1">
              <w:rPr>
                <w:color w:val="auto"/>
                <w:sz w:val="18"/>
                <w:szCs w:val="18"/>
              </w:rPr>
              <w:t>“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Reviving</w:t>
            </w:r>
            <w:r w:rsidRPr="00C557A1">
              <w:rPr>
                <w:color w:val="auto"/>
                <w:sz w:val="18"/>
                <w:szCs w:val="18"/>
              </w:rPr>
              <w:t xml:space="preserve"> the Teaching of Dead Languages: The Case of Greek in Modern Christian Education.” Newbold, March 2015. </w:t>
            </w:r>
            <w:r w:rsidR="006A0DCB" w:rsidRPr="00C557A1">
              <w:rPr>
                <w:color w:val="auto"/>
                <w:sz w:val="18"/>
                <w:szCs w:val="18"/>
              </w:rPr>
              <w:t xml:space="preserve">“The </w:t>
            </w:r>
            <w:r w:rsidR="006A0DCB" w:rsidRPr="00C557A1">
              <w:rPr>
                <w:color w:val="auto"/>
                <w:sz w:val="18"/>
                <w:szCs w:val="18"/>
                <w:lang w:val="en-US"/>
              </w:rPr>
              <w:t>Relationship</w:t>
            </w:r>
            <w:r w:rsidR="006A0DCB" w:rsidRPr="00C557A1">
              <w:rPr>
                <w:color w:val="auto"/>
                <w:sz w:val="18"/>
                <w:szCs w:val="18"/>
              </w:rPr>
              <w:t xml:space="preserve"> Between the Woman and the Beast in Revelation 17.” </w:t>
            </w:r>
            <w:proofErr w:type="spellStart"/>
            <w:r w:rsidR="006A0DCB" w:rsidRPr="00C557A1">
              <w:rPr>
                <w:color w:val="auto"/>
                <w:sz w:val="18"/>
                <w:szCs w:val="18"/>
              </w:rPr>
              <w:t>Cernica</w:t>
            </w:r>
            <w:proofErr w:type="spellEnd"/>
            <w:r w:rsidR="006A0DCB" w:rsidRPr="00C557A1">
              <w:rPr>
                <w:color w:val="auto"/>
                <w:sz w:val="18"/>
                <w:szCs w:val="18"/>
              </w:rPr>
              <w:t>, May 2011.</w:t>
            </w:r>
          </w:p>
        </w:tc>
      </w:tr>
      <w:tr w:rsidR="00C557A1" w:rsidRPr="00C557A1" w14:paraId="15DD5E36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16F1B121" w14:textId="77777777" w:rsidR="009D561D" w:rsidRPr="00C557A1" w:rsidRDefault="009D561D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51250FD6" w14:textId="77777777" w:rsidR="009D561D" w:rsidRPr="00C557A1" w:rsidRDefault="009D561D" w:rsidP="003B2C40">
            <w:pPr>
              <w:pStyle w:val="NoSpacing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234B941A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873EC72" w14:textId="77777777" w:rsidR="006A0DCB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4242BF69" w14:textId="77777777" w:rsidR="006A0DCB" w:rsidRPr="00C557A1" w:rsidRDefault="006A0DCB" w:rsidP="006A0DCB">
            <w:pPr>
              <w:pStyle w:val="ECVSectionBullet"/>
              <w:rPr>
                <w:color w:val="auto"/>
                <w:szCs w:val="18"/>
              </w:rPr>
            </w:pPr>
            <w:r w:rsidRPr="00C557A1">
              <w:rPr>
                <w:color w:val="auto"/>
                <w:szCs w:val="18"/>
              </w:rPr>
              <w:t>Participations at Adventist/Evangelical Theological Societies annual meetings.</w:t>
            </w:r>
          </w:p>
          <w:p w14:paraId="1CA33048" w14:textId="77777777" w:rsidR="00B357D2" w:rsidRPr="00C557A1" w:rsidRDefault="00B357D2" w:rsidP="00B357D2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“Nearness and Delay of the Parousia in Reformation Thought.”  ATS/ETS, Providence, 2017.</w:t>
            </w:r>
          </w:p>
          <w:p w14:paraId="5DF7444A" w14:textId="77777777" w:rsidR="00B357D2" w:rsidRPr="00C557A1" w:rsidRDefault="00B357D2" w:rsidP="00B357D2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“O 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Echomenos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>: A Trinitarian Perspective on the One Coming.” ATS/ETS, San Antonio, 2016.</w:t>
            </w:r>
          </w:p>
          <w:p w14:paraId="15B5EB80" w14:textId="77777777" w:rsidR="006A0DCB" w:rsidRPr="00C557A1" w:rsidRDefault="006A0DCB" w:rsidP="006A0DCB">
            <w:pPr>
              <w:pStyle w:val="NoSpacing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“Shortness</w:t>
            </w:r>
            <w:r w:rsidRPr="00C557A1">
              <w:rPr>
                <w:color w:val="auto"/>
                <w:sz w:val="18"/>
                <w:szCs w:val="18"/>
              </w:rPr>
              <w:t xml:space="preserve"> of Time and Being Married as if You Are Not.</w:t>
            </w:r>
            <w:r w:rsidRPr="00C557A1">
              <w:rPr>
                <w:color w:val="auto"/>
                <w:sz w:val="18"/>
                <w:szCs w:val="18"/>
                <w:lang w:val="en-US"/>
              </w:rPr>
              <w:t>” ATS/ETS, Atlanta, 2015.</w:t>
            </w:r>
          </w:p>
          <w:p w14:paraId="362CE26B" w14:textId="77777777" w:rsidR="0024553A" w:rsidRPr="00C557A1" w:rsidRDefault="0024553A" w:rsidP="0024553A">
            <w:pPr>
              <w:pStyle w:val="NoSpacing"/>
              <w:ind w:left="360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  <w:p w14:paraId="5D449DC9" w14:textId="77777777" w:rsidR="0024553A" w:rsidRPr="00C557A1" w:rsidRDefault="0024553A" w:rsidP="0024553A">
            <w:pPr>
              <w:pStyle w:val="NoSpacing"/>
              <w:rPr>
                <w:color w:val="auto"/>
                <w:sz w:val="18"/>
                <w:szCs w:val="18"/>
                <w:lang w:val="en-US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>Other International Symposiums</w:t>
            </w:r>
          </w:p>
          <w:p w14:paraId="436E45D1" w14:textId="52CBCD48" w:rsidR="0024553A" w:rsidRPr="00C557A1" w:rsidRDefault="00D2408A" w:rsidP="006A0DCB">
            <w:pPr>
              <w:pStyle w:val="NoSpacing"/>
              <w:numPr>
                <w:ilvl w:val="0"/>
                <w:numId w:val="7"/>
              </w:numPr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color w:val="auto"/>
                <w:sz w:val="18"/>
                <w:szCs w:val="18"/>
                <w:lang w:val="en-US"/>
              </w:rPr>
              <w:t xml:space="preserve">“Types of belief in Romans 14 and their impact on the semantics of </w:t>
            </w:r>
            <w:proofErr w:type="spellStart"/>
            <w:r w:rsidRPr="00C557A1">
              <w:rPr>
                <w:color w:val="auto"/>
                <w:sz w:val="18"/>
                <w:szCs w:val="18"/>
                <w:lang w:val="en-US"/>
              </w:rPr>
              <w:t>κοινός</w:t>
            </w:r>
            <w:proofErr w:type="spellEnd"/>
            <w:r w:rsidRPr="00C557A1">
              <w:rPr>
                <w:color w:val="auto"/>
                <w:sz w:val="18"/>
                <w:szCs w:val="18"/>
                <w:lang w:val="en-US"/>
              </w:rPr>
              <w:t xml:space="preserve">.” </w:t>
            </w:r>
            <w:r w:rsidR="00B357D2" w:rsidRPr="00C557A1">
              <w:rPr>
                <w:color w:val="auto"/>
                <w:sz w:val="18"/>
                <w:szCs w:val="18"/>
                <w:lang w:val="en-US"/>
              </w:rPr>
              <w:t>University of St Andrews Biblical Studies Symposium, July 2021.</w:t>
            </w:r>
          </w:p>
          <w:p w14:paraId="3F955DB7" w14:textId="77777777" w:rsidR="008246FA" w:rsidRPr="00C557A1" w:rsidRDefault="008246FA" w:rsidP="008246FA">
            <w:pPr>
              <w:pStyle w:val="NoSpacing"/>
              <w:rPr>
                <w:color w:val="auto"/>
                <w:sz w:val="18"/>
                <w:szCs w:val="18"/>
                <w:lang w:val="en-US"/>
              </w:rPr>
            </w:pPr>
          </w:p>
          <w:p w14:paraId="6108A26A" w14:textId="17177725" w:rsidR="0024553A" w:rsidRPr="00C557A1" w:rsidRDefault="0024553A" w:rsidP="0024553A">
            <w:pPr>
              <w:pStyle w:val="NoSpacing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48864D41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257D69E3" w14:textId="77777777" w:rsidR="006A0DCB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5753E508" w14:textId="77777777" w:rsidR="006A0DCB" w:rsidRPr="00C557A1" w:rsidRDefault="006A0DCB" w:rsidP="005C7A37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  <w:tr w:rsidR="00C557A1" w:rsidRPr="00C557A1" w14:paraId="211C9FDF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34E9F49" w14:textId="77777777" w:rsidR="006A0DCB" w:rsidRPr="00C557A1" w:rsidRDefault="006A0DCB" w:rsidP="006A0DCB">
            <w:pPr>
              <w:pStyle w:val="ECVLeftDetails"/>
              <w:rPr>
                <w:color w:val="auto"/>
              </w:rPr>
            </w:pPr>
            <w:r w:rsidRPr="00C557A1">
              <w:rPr>
                <w:color w:val="auto"/>
              </w:rPr>
              <w:t>Special awards/projects/ membership</w:t>
            </w:r>
          </w:p>
          <w:p w14:paraId="5A41AA34" w14:textId="77777777" w:rsidR="006A0DCB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242B824E" w14:textId="77777777" w:rsidR="006A0DCB" w:rsidRPr="00C557A1" w:rsidRDefault="006A0DCB" w:rsidP="006A0DCB">
            <w:pPr>
              <w:rPr>
                <w:rFonts w:cs="Arial"/>
                <w:color w:val="auto"/>
                <w:sz w:val="18"/>
                <w:szCs w:val="18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 xml:space="preserve">Translator/reviewer of Dumitru </w:t>
            </w:r>
            <w:proofErr w:type="spellStart"/>
            <w:r w:rsidRPr="00C557A1">
              <w:rPr>
                <w:rFonts w:cs="Arial"/>
                <w:color w:val="auto"/>
                <w:sz w:val="18"/>
                <w:szCs w:val="18"/>
              </w:rPr>
              <w:t>Cornilescu</w:t>
            </w:r>
            <w:proofErr w:type="spell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Bible in a three </w:t>
            </w:r>
            <w:proofErr w:type="gramStart"/>
            <w:r w:rsidRPr="00C557A1">
              <w:rPr>
                <w:rFonts w:cs="Arial"/>
                <w:color w:val="auto"/>
                <w:sz w:val="18"/>
                <w:szCs w:val="18"/>
              </w:rPr>
              <w:t>years</w:t>
            </w:r>
            <w:proofErr w:type="gramEnd"/>
            <w:r w:rsidRPr="00C557A1">
              <w:rPr>
                <w:rFonts w:cs="Arial"/>
                <w:color w:val="auto"/>
                <w:sz w:val="18"/>
                <w:szCs w:val="18"/>
              </w:rPr>
              <w:t xml:space="preserve"> project (2015-2018) of revision under United Bible Societies and Romanian Inter-Confessional Bible Society.</w:t>
            </w:r>
          </w:p>
          <w:p w14:paraId="3432B604" w14:textId="77777777" w:rsidR="00633C6A" w:rsidRPr="00C557A1" w:rsidRDefault="00633C6A" w:rsidP="00633C6A">
            <w:pPr>
              <w:rPr>
                <w:rFonts w:cs="Arial"/>
                <w:color w:val="auto"/>
                <w:sz w:val="18"/>
                <w:szCs w:val="18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Society of Biblical Literature Annual Meeting Travel Grant (2015)</w:t>
            </w:r>
          </w:p>
          <w:p w14:paraId="187D7C77" w14:textId="77777777" w:rsidR="006A0DCB" w:rsidRPr="00C557A1" w:rsidRDefault="006A0DCB" w:rsidP="006A0DCB">
            <w:pPr>
              <w:pStyle w:val="NoSpacing"/>
              <w:ind w:left="567" w:hanging="567"/>
              <w:rPr>
                <w:rFonts w:cs="Arial"/>
                <w:color w:val="auto"/>
                <w:sz w:val="18"/>
                <w:szCs w:val="18"/>
                <w:lang w:val="fr-FR"/>
              </w:rPr>
            </w:pPr>
            <w:r w:rsidRPr="00C557A1">
              <w:rPr>
                <w:rFonts w:cs="Arial"/>
                <w:color w:val="auto"/>
                <w:sz w:val="18"/>
                <w:szCs w:val="18"/>
              </w:rPr>
              <w:t>Member of the Society of Biblical Literature and Adventist Theological Society since 2014</w:t>
            </w:r>
            <w:r w:rsidR="00633C6A" w:rsidRPr="00C557A1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</w:tr>
      <w:tr w:rsidR="00C557A1" w:rsidRPr="00C557A1" w14:paraId="48833959" w14:textId="77777777" w:rsidTr="006F14DA">
        <w:trPr>
          <w:cantSplit/>
          <w:trHeight w:val="170"/>
        </w:trPr>
        <w:tc>
          <w:tcPr>
            <w:tcW w:w="2880" w:type="dxa"/>
            <w:shd w:val="clear" w:color="auto" w:fill="auto"/>
          </w:tcPr>
          <w:p w14:paraId="622E0228" w14:textId="77777777" w:rsidR="006A0DCB" w:rsidRPr="00C557A1" w:rsidRDefault="006A0DCB">
            <w:pPr>
              <w:pStyle w:val="ECVLeftDetails"/>
              <w:rPr>
                <w:rFonts w:cs="Arial"/>
                <w:color w:val="auto"/>
                <w:szCs w:val="18"/>
              </w:rPr>
            </w:pPr>
          </w:p>
        </w:tc>
        <w:tc>
          <w:tcPr>
            <w:tcW w:w="7496" w:type="dxa"/>
            <w:shd w:val="clear" w:color="auto" w:fill="auto"/>
          </w:tcPr>
          <w:p w14:paraId="1A1591B3" w14:textId="77777777" w:rsidR="006A0DCB" w:rsidRPr="00C557A1" w:rsidRDefault="006A0DCB" w:rsidP="00E6449E">
            <w:pPr>
              <w:pStyle w:val="NoSpacing"/>
              <w:rPr>
                <w:rFonts w:cs="Arial"/>
                <w:color w:val="auto"/>
                <w:sz w:val="18"/>
                <w:szCs w:val="18"/>
                <w:lang w:val="fr-FR"/>
              </w:rPr>
            </w:pPr>
          </w:p>
        </w:tc>
      </w:tr>
    </w:tbl>
    <w:p w14:paraId="67A8F544" w14:textId="5CD75788" w:rsidR="00E6449E" w:rsidRPr="00C557A1" w:rsidRDefault="00E6449E" w:rsidP="00E6449E">
      <w:pPr>
        <w:tabs>
          <w:tab w:val="left" w:pos="5744"/>
        </w:tabs>
        <w:rPr>
          <w:color w:val="auto"/>
        </w:rPr>
      </w:pPr>
    </w:p>
    <w:sectPr w:rsidR="00E6449E" w:rsidRPr="00C557A1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51ED" w14:textId="77777777" w:rsidR="00CE66CE" w:rsidRDefault="00CE66CE">
      <w:r>
        <w:separator/>
      </w:r>
    </w:p>
  </w:endnote>
  <w:endnote w:type="continuationSeparator" w:id="0">
    <w:p w14:paraId="0F0D385E" w14:textId="77777777" w:rsidR="00CE66CE" w:rsidRDefault="00CE66CE">
      <w:r>
        <w:continuationSeparator/>
      </w:r>
    </w:p>
  </w:endnote>
  <w:endnote w:type="continuationNotice" w:id="1">
    <w:p w14:paraId="4D0C5F27" w14:textId="77777777" w:rsidR="00CE66CE" w:rsidRDefault="00CE6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23F" w14:textId="77777777" w:rsidR="00BA3587" w:rsidRDefault="00BA358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8478" w14:textId="77777777" w:rsidR="00BA3587" w:rsidRDefault="00BA358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D0F3" w14:textId="77777777" w:rsidR="00CE66CE" w:rsidRDefault="00CE66CE">
      <w:r>
        <w:separator/>
      </w:r>
    </w:p>
  </w:footnote>
  <w:footnote w:type="continuationSeparator" w:id="0">
    <w:p w14:paraId="1D74F73B" w14:textId="77777777" w:rsidR="00CE66CE" w:rsidRDefault="00CE66CE">
      <w:r>
        <w:continuationSeparator/>
      </w:r>
    </w:p>
  </w:footnote>
  <w:footnote w:type="continuationNotice" w:id="1">
    <w:p w14:paraId="6D27D9D8" w14:textId="77777777" w:rsidR="00CE66CE" w:rsidRDefault="00CE66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18D1" w14:textId="77777777" w:rsidR="00BA3587" w:rsidRDefault="00BA3587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216" behindDoc="0" locked="0" layoutInCell="1" allowOverlap="1" wp14:anchorId="4EF2CB0A" wp14:editId="53642B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Lauren</w:t>
    </w:r>
    <w:r>
      <w:rPr>
        <w:szCs w:val="20"/>
        <w:lang w:val="ro-RO"/>
      </w:rPr>
      <w:t>țiu Florentin Moț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19DA" w14:textId="77777777" w:rsidR="00BA3587" w:rsidRDefault="00BA3587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9264" behindDoc="0" locked="0" layoutInCell="1" allowOverlap="1" wp14:anchorId="44E8AAA7" wp14:editId="2CE7930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Laurențiu</w:t>
    </w:r>
    <w:r>
      <w:t xml:space="preserve"> Florentin </w:t>
    </w:r>
    <w:proofErr w:type="spellStart"/>
    <w:r>
      <w:rPr>
        <w:szCs w:val="20"/>
      </w:rPr>
      <w:t>Moț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6BA3A3C"/>
    <w:multiLevelType w:val="hybridMultilevel"/>
    <w:tmpl w:val="9410C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10BF"/>
    <w:multiLevelType w:val="hybridMultilevel"/>
    <w:tmpl w:val="4650F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53F"/>
    <w:multiLevelType w:val="hybridMultilevel"/>
    <w:tmpl w:val="F84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AF4"/>
    <w:multiLevelType w:val="hybridMultilevel"/>
    <w:tmpl w:val="466641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D07EC"/>
    <w:multiLevelType w:val="hybridMultilevel"/>
    <w:tmpl w:val="540A91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A75E1"/>
    <w:multiLevelType w:val="hybridMultilevel"/>
    <w:tmpl w:val="B3683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6B9"/>
    <w:rsid w:val="00005109"/>
    <w:rsid w:val="0001021B"/>
    <w:rsid w:val="00013321"/>
    <w:rsid w:val="00043B90"/>
    <w:rsid w:val="00047B74"/>
    <w:rsid w:val="00051BCC"/>
    <w:rsid w:val="000604F2"/>
    <w:rsid w:val="000670F2"/>
    <w:rsid w:val="0007039F"/>
    <w:rsid w:val="00071907"/>
    <w:rsid w:val="00073F3F"/>
    <w:rsid w:val="000745CE"/>
    <w:rsid w:val="000938BD"/>
    <w:rsid w:val="00097660"/>
    <w:rsid w:val="000A5EB8"/>
    <w:rsid w:val="000A755E"/>
    <w:rsid w:val="000B265D"/>
    <w:rsid w:val="000E5E12"/>
    <w:rsid w:val="000F5C77"/>
    <w:rsid w:val="00105E6D"/>
    <w:rsid w:val="00144978"/>
    <w:rsid w:val="0015670F"/>
    <w:rsid w:val="00164408"/>
    <w:rsid w:val="00184613"/>
    <w:rsid w:val="001875D5"/>
    <w:rsid w:val="00194B08"/>
    <w:rsid w:val="00196565"/>
    <w:rsid w:val="00197100"/>
    <w:rsid w:val="001B4F9A"/>
    <w:rsid w:val="001B6D06"/>
    <w:rsid w:val="001C0876"/>
    <w:rsid w:val="001C0AA1"/>
    <w:rsid w:val="001C5C34"/>
    <w:rsid w:val="001D29C0"/>
    <w:rsid w:val="001F08C0"/>
    <w:rsid w:val="001F7C43"/>
    <w:rsid w:val="002159C8"/>
    <w:rsid w:val="00225B42"/>
    <w:rsid w:val="00227C33"/>
    <w:rsid w:val="002307BE"/>
    <w:rsid w:val="0024553A"/>
    <w:rsid w:val="002556EB"/>
    <w:rsid w:val="00266FB1"/>
    <w:rsid w:val="002707D2"/>
    <w:rsid w:val="00287F9C"/>
    <w:rsid w:val="00292FBD"/>
    <w:rsid w:val="002946C7"/>
    <w:rsid w:val="00296B47"/>
    <w:rsid w:val="002B48B0"/>
    <w:rsid w:val="002D37BF"/>
    <w:rsid w:val="002E54F6"/>
    <w:rsid w:val="0030157A"/>
    <w:rsid w:val="003029AE"/>
    <w:rsid w:val="003157FB"/>
    <w:rsid w:val="00317D4F"/>
    <w:rsid w:val="00322D45"/>
    <w:rsid w:val="00334D27"/>
    <w:rsid w:val="0035142F"/>
    <w:rsid w:val="003522F5"/>
    <w:rsid w:val="00353BEF"/>
    <w:rsid w:val="003900A2"/>
    <w:rsid w:val="003A048C"/>
    <w:rsid w:val="003A3474"/>
    <w:rsid w:val="003B2C40"/>
    <w:rsid w:val="003C78AD"/>
    <w:rsid w:val="003D0495"/>
    <w:rsid w:val="003E3D89"/>
    <w:rsid w:val="004077B9"/>
    <w:rsid w:val="00416D87"/>
    <w:rsid w:val="00417A7D"/>
    <w:rsid w:val="00421B77"/>
    <w:rsid w:val="00430091"/>
    <w:rsid w:val="0044015A"/>
    <w:rsid w:val="00440817"/>
    <w:rsid w:val="00446FD0"/>
    <w:rsid w:val="0048194F"/>
    <w:rsid w:val="00497C41"/>
    <w:rsid w:val="004A1206"/>
    <w:rsid w:val="004B6381"/>
    <w:rsid w:val="004B7F0B"/>
    <w:rsid w:val="004C1AB4"/>
    <w:rsid w:val="004D2CA9"/>
    <w:rsid w:val="004D6F81"/>
    <w:rsid w:val="004E3309"/>
    <w:rsid w:val="004E5802"/>
    <w:rsid w:val="004F1193"/>
    <w:rsid w:val="005003ED"/>
    <w:rsid w:val="00507C4B"/>
    <w:rsid w:val="00512D40"/>
    <w:rsid w:val="005169DF"/>
    <w:rsid w:val="00532B9B"/>
    <w:rsid w:val="0054192D"/>
    <w:rsid w:val="005437AB"/>
    <w:rsid w:val="00551F20"/>
    <w:rsid w:val="00562AAC"/>
    <w:rsid w:val="00571BD4"/>
    <w:rsid w:val="00580424"/>
    <w:rsid w:val="00581ADA"/>
    <w:rsid w:val="00582A19"/>
    <w:rsid w:val="00584D84"/>
    <w:rsid w:val="00591F04"/>
    <w:rsid w:val="005A015F"/>
    <w:rsid w:val="005A25E0"/>
    <w:rsid w:val="005A575F"/>
    <w:rsid w:val="005B7161"/>
    <w:rsid w:val="005C0498"/>
    <w:rsid w:val="005C23E0"/>
    <w:rsid w:val="005C7A37"/>
    <w:rsid w:val="005D089A"/>
    <w:rsid w:val="005D3F2B"/>
    <w:rsid w:val="005D4CA9"/>
    <w:rsid w:val="005D5C75"/>
    <w:rsid w:val="005E4694"/>
    <w:rsid w:val="006068EF"/>
    <w:rsid w:val="00621C6D"/>
    <w:rsid w:val="00621F61"/>
    <w:rsid w:val="00622495"/>
    <w:rsid w:val="00624283"/>
    <w:rsid w:val="006261C9"/>
    <w:rsid w:val="00633C6A"/>
    <w:rsid w:val="0066612A"/>
    <w:rsid w:val="00667320"/>
    <w:rsid w:val="00671373"/>
    <w:rsid w:val="00692594"/>
    <w:rsid w:val="006A0DCB"/>
    <w:rsid w:val="006A43D3"/>
    <w:rsid w:val="006A7F86"/>
    <w:rsid w:val="006B1E09"/>
    <w:rsid w:val="006B326D"/>
    <w:rsid w:val="006B43A8"/>
    <w:rsid w:val="006C138E"/>
    <w:rsid w:val="006C323C"/>
    <w:rsid w:val="006C64BE"/>
    <w:rsid w:val="006D5D9B"/>
    <w:rsid w:val="006D6894"/>
    <w:rsid w:val="006D786E"/>
    <w:rsid w:val="006E0864"/>
    <w:rsid w:val="006F14DA"/>
    <w:rsid w:val="0072540D"/>
    <w:rsid w:val="00737BDC"/>
    <w:rsid w:val="00743236"/>
    <w:rsid w:val="0074542F"/>
    <w:rsid w:val="00745BAF"/>
    <w:rsid w:val="0075051F"/>
    <w:rsid w:val="0075749F"/>
    <w:rsid w:val="007635DB"/>
    <w:rsid w:val="007806E2"/>
    <w:rsid w:val="00791EBF"/>
    <w:rsid w:val="00797950"/>
    <w:rsid w:val="007A1968"/>
    <w:rsid w:val="007A4C6E"/>
    <w:rsid w:val="007B5736"/>
    <w:rsid w:val="007D4A9B"/>
    <w:rsid w:val="007D7AD8"/>
    <w:rsid w:val="007E0814"/>
    <w:rsid w:val="007E0E7B"/>
    <w:rsid w:val="007E57CE"/>
    <w:rsid w:val="007F0F79"/>
    <w:rsid w:val="00801B7C"/>
    <w:rsid w:val="00803CC9"/>
    <w:rsid w:val="00804504"/>
    <w:rsid w:val="008246FA"/>
    <w:rsid w:val="008278C2"/>
    <w:rsid w:val="00834A9C"/>
    <w:rsid w:val="00850A68"/>
    <w:rsid w:val="0087463E"/>
    <w:rsid w:val="00881E26"/>
    <w:rsid w:val="008822BA"/>
    <w:rsid w:val="00886BDC"/>
    <w:rsid w:val="00892391"/>
    <w:rsid w:val="008A0B4A"/>
    <w:rsid w:val="008A3390"/>
    <w:rsid w:val="008A7D4D"/>
    <w:rsid w:val="008B2EDF"/>
    <w:rsid w:val="008B3715"/>
    <w:rsid w:val="008F1C00"/>
    <w:rsid w:val="009048F9"/>
    <w:rsid w:val="00907046"/>
    <w:rsid w:val="00912128"/>
    <w:rsid w:val="009275E2"/>
    <w:rsid w:val="00973F2A"/>
    <w:rsid w:val="00984E41"/>
    <w:rsid w:val="009B2A49"/>
    <w:rsid w:val="009C0701"/>
    <w:rsid w:val="009C219D"/>
    <w:rsid w:val="009D4641"/>
    <w:rsid w:val="009D561D"/>
    <w:rsid w:val="009E3E98"/>
    <w:rsid w:val="009F4B5F"/>
    <w:rsid w:val="009F5B2E"/>
    <w:rsid w:val="00A10204"/>
    <w:rsid w:val="00A12637"/>
    <w:rsid w:val="00A157F3"/>
    <w:rsid w:val="00A23FA8"/>
    <w:rsid w:val="00A32126"/>
    <w:rsid w:val="00A36512"/>
    <w:rsid w:val="00A440AB"/>
    <w:rsid w:val="00A56DC0"/>
    <w:rsid w:val="00A60631"/>
    <w:rsid w:val="00A73A94"/>
    <w:rsid w:val="00A82646"/>
    <w:rsid w:val="00A92E12"/>
    <w:rsid w:val="00AA1D39"/>
    <w:rsid w:val="00AA2B9E"/>
    <w:rsid w:val="00AB2B14"/>
    <w:rsid w:val="00AC7D2B"/>
    <w:rsid w:val="00AF2A65"/>
    <w:rsid w:val="00B357D2"/>
    <w:rsid w:val="00B4548E"/>
    <w:rsid w:val="00B47129"/>
    <w:rsid w:val="00B60F6E"/>
    <w:rsid w:val="00B746C8"/>
    <w:rsid w:val="00B76E78"/>
    <w:rsid w:val="00B8686E"/>
    <w:rsid w:val="00BA34FC"/>
    <w:rsid w:val="00BA3587"/>
    <w:rsid w:val="00BA5B3E"/>
    <w:rsid w:val="00BA68F6"/>
    <w:rsid w:val="00BB36B2"/>
    <w:rsid w:val="00BC39D0"/>
    <w:rsid w:val="00BD52D5"/>
    <w:rsid w:val="00BE1C56"/>
    <w:rsid w:val="00BE6227"/>
    <w:rsid w:val="00BF1F0B"/>
    <w:rsid w:val="00C32A37"/>
    <w:rsid w:val="00C41527"/>
    <w:rsid w:val="00C46A75"/>
    <w:rsid w:val="00C557A1"/>
    <w:rsid w:val="00C64F05"/>
    <w:rsid w:val="00C76285"/>
    <w:rsid w:val="00C83F9E"/>
    <w:rsid w:val="00C96E7E"/>
    <w:rsid w:val="00CB4FAC"/>
    <w:rsid w:val="00CD0912"/>
    <w:rsid w:val="00CE66CE"/>
    <w:rsid w:val="00D05C51"/>
    <w:rsid w:val="00D13205"/>
    <w:rsid w:val="00D2292E"/>
    <w:rsid w:val="00D22A6C"/>
    <w:rsid w:val="00D2408A"/>
    <w:rsid w:val="00D34FB6"/>
    <w:rsid w:val="00D53439"/>
    <w:rsid w:val="00D6301A"/>
    <w:rsid w:val="00D867C3"/>
    <w:rsid w:val="00D915E1"/>
    <w:rsid w:val="00D92543"/>
    <w:rsid w:val="00D93045"/>
    <w:rsid w:val="00D952E4"/>
    <w:rsid w:val="00DC534B"/>
    <w:rsid w:val="00DE67A5"/>
    <w:rsid w:val="00DF62D6"/>
    <w:rsid w:val="00E05ABB"/>
    <w:rsid w:val="00E06855"/>
    <w:rsid w:val="00E22769"/>
    <w:rsid w:val="00E26F62"/>
    <w:rsid w:val="00E30EE6"/>
    <w:rsid w:val="00E36AEA"/>
    <w:rsid w:val="00E37149"/>
    <w:rsid w:val="00E626AB"/>
    <w:rsid w:val="00E6449E"/>
    <w:rsid w:val="00E660BC"/>
    <w:rsid w:val="00E95E53"/>
    <w:rsid w:val="00EA498D"/>
    <w:rsid w:val="00EA7F49"/>
    <w:rsid w:val="00EB6920"/>
    <w:rsid w:val="00EC386C"/>
    <w:rsid w:val="00ED6134"/>
    <w:rsid w:val="00EF0557"/>
    <w:rsid w:val="00EF3580"/>
    <w:rsid w:val="00F0543B"/>
    <w:rsid w:val="00F05759"/>
    <w:rsid w:val="00F05D1C"/>
    <w:rsid w:val="00F10F5D"/>
    <w:rsid w:val="00F206B9"/>
    <w:rsid w:val="00F22BE7"/>
    <w:rsid w:val="00F27175"/>
    <w:rsid w:val="00F54EDB"/>
    <w:rsid w:val="00F5561E"/>
    <w:rsid w:val="00F57267"/>
    <w:rsid w:val="00F771CC"/>
    <w:rsid w:val="00F82C1C"/>
    <w:rsid w:val="00FC0293"/>
    <w:rsid w:val="00FC3B23"/>
    <w:rsid w:val="00FC417F"/>
    <w:rsid w:val="00FD05D5"/>
    <w:rsid w:val="00FD31FE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B7F94"/>
  <w15:docId w15:val="{30016F49-3FB8-43B6-AAAD-51275EB1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NoSpacing">
    <w:name w:val="No Spacing"/>
    <w:uiPriority w:val="1"/>
    <w:qFormat/>
    <w:rsid w:val="00B76E78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74542F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US" w:eastAsia="en-US" w:bidi="ar-SA"/>
    </w:rPr>
  </w:style>
  <w:style w:type="character" w:customStyle="1" w:styleId="value">
    <w:name w:val="value"/>
    <w:basedOn w:val="DefaultParagraphFont"/>
    <w:rsid w:val="006B326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6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C3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3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mot.laurentiu.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aurentiu.mot@uadventus.ro" TargetMode="External"/><Relationship Id="rId17" Type="http://schemas.openxmlformats.org/officeDocument/2006/relationships/hyperlink" Target="https://www.google.com/search?sxsrf=ACYBGNR8xh785kwFjcGxLnamj23wY9Bw9A:1572259273465&amp;q=Piscataway&amp;stick=H4sIAAAAAAAAAOPgE-LSz9U3SC5KzjXNUeIAsSsKCou0jDLKrfST83NyUpNLMvPz9POL0hPzMqsSQZxiq4zUxJTC0sSiktSiYoWc_GSw8CJWroDMYiA7sTyxEgDrx3iiWQAAAA&amp;sa=X&amp;ved=2ahUKEwj5ivWb4r7lAhURExQKHeWeBMwQmxMoATAbegQICBAH&amp;sxsrf=ACYBGNR8xh785kwFjcGxLnamj23wY9Bw9A:15722592734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rgiaspress.com/perspectives-on-linguistics-and-ancient-languag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nstitutadventist.ro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A078-ABF6-449A-8ADA-5984C395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6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20261</CharactersWithSpaces>
  <SharedDoc>false</SharedDoc>
  <HLinks>
    <vt:vector size="18" baseType="variant"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http://www.institutadventist.ro/</vt:lpwstr>
      </vt:variant>
      <vt:variant>
        <vt:lpwstr/>
      </vt:variant>
      <vt:variant>
        <vt:i4>1245277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https://www.facebook.com/mot.laurentiu.1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mailto:laurentiu.mot@institutadventist.ro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Laurentiu</dc:creator>
  <cp:keywords>Europass, CV, Cedefop</cp:keywords>
  <dc:description>Europass CV</dc:description>
  <cp:lastModifiedBy>Laurentiu Mot</cp:lastModifiedBy>
  <cp:revision>213</cp:revision>
  <cp:lastPrinted>2020-03-24T12:17:00Z</cp:lastPrinted>
  <dcterms:created xsi:type="dcterms:W3CDTF">2014-10-19T19:07:00Z</dcterms:created>
  <dcterms:modified xsi:type="dcterms:W3CDTF">2021-09-16T09:15:00Z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