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BD51B2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Pr. Badea Ionuț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72350F">
            <w:pPr>
              <w:pStyle w:val="ECVLeftHeading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1072896" cy="1560576"/>
                  <wp:effectExtent l="0" t="0" r="0" b="1905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dea_stude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6" cy="156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03505" w:rsidP="00BD51B2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5680" behindDoc="0" locked="0" layoutInCell="1" allowOverlap="1" wp14:anchorId="43A55E1B" wp14:editId="3A1818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BD51B2">
              <w:rPr>
                <w:lang w:val="ro-RO"/>
              </w:rPr>
              <w:t>Bd. Timișoara, nr. 89, bloc C1.12, scara A, etaj 2, apt. 9, Sector 6, București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03505" w:rsidP="00BD51B2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BD51B2">
              <w:rPr>
                <w:rStyle w:val="ECVContactDetails"/>
                <w:lang w:val="ro-RO"/>
              </w:rPr>
              <w:t>0728.947.418</w:t>
            </w:r>
            <w:r w:rsidR="00C8172F" w:rsidRPr="00495E21">
              <w:rPr>
                <w:rStyle w:val="ECVContactDetails"/>
                <w:lang w:val="ro-RO"/>
              </w:rPr>
              <w:t xml:space="preserve">    </w:t>
            </w:r>
          </w:p>
        </w:tc>
      </w:tr>
      <w:tr w:rsidR="00C8172F" w:rsidRPr="00985A0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85A01" w:rsidRDefault="00C03505" w:rsidP="00BD51B2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hyperlink r:id="rId11" w:history="1">
              <w:r w:rsidR="00985A01" w:rsidRPr="00297EFF">
                <w:rPr>
                  <w:rStyle w:val="Hyperlink"/>
                  <w:lang w:val="ro-RO"/>
                </w:rPr>
                <w:t>preotib@yahoo.com</w:t>
              </w:r>
            </w:hyperlink>
            <w:r w:rsidR="00985A01">
              <w:rPr>
                <w:rStyle w:val="ECVInternetLink"/>
                <w:u w:val="none"/>
                <w:lang w:val="ro-RO"/>
              </w:rPr>
              <w:t xml:space="preserve">; </w:t>
            </w:r>
            <w:hyperlink r:id="rId12" w:history="1">
              <w:r w:rsidR="00985A01" w:rsidRPr="00297EFF">
                <w:rPr>
                  <w:rStyle w:val="Hyperlink"/>
                  <w:lang w:val="ro-RO"/>
                </w:rPr>
                <w:t>ionutbd@gmail.com</w:t>
              </w:r>
            </w:hyperlink>
            <w:r w:rsidR="00985A01">
              <w:rPr>
                <w:rStyle w:val="ECVInternetLink"/>
                <w:u w:val="none"/>
                <w:lang w:val="ro-RO"/>
              </w:rPr>
              <w:t xml:space="preserve"> </w:t>
            </w:r>
          </w:p>
        </w:tc>
      </w:tr>
      <w:tr w:rsidR="00C8172F" w:rsidRPr="00985A0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</w:p>
        </w:tc>
      </w:tr>
      <w:tr w:rsidR="00C8172F" w:rsidRPr="00985A0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 w:rsidP="00BD51B2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BD51B2">
              <w:rPr>
                <w:rStyle w:val="ECVContactDetails"/>
                <w:lang w:val="ro-RO"/>
              </w:rPr>
              <w:t>bărbătesc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="00BD51B2">
              <w:rPr>
                <w:rStyle w:val="ECVContactDetails"/>
                <w:lang w:val="ro-RO"/>
              </w:rPr>
              <w:t>15/octombrie/1976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="00BD51B2">
              <w:rPr>
                <w:rStyle w:val="ECVContactDetails"/>
                <w:lang w:val="ro-RO"/>
              </w:rPr>
              <w:t>română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C03505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85360" cy="91440"/>
                  <wp:effectExtent l="0" t="0" r="0" b="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43ABC" w:rsidRPr="00495E21" w:rsidTr="00443ABC">
        <w:trPr>
          <w:cantSplit/>
        </w:trPr>
        <w:tc>
          <w:tcPr>
            <w:tcW w:w="2834" w:type="dxa"/>
            <w:shd w:val="clear" w:color="auto" w:fill="auto"/>
          </w:tcPr>
          <w:p w:rsidR="00443ABC" w:rsidRDefault="00443ABC" w:rsidP="00962E74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</w:t>
            </w:r>
            <w:r>
              <w:rPr>
                <w:lang w:val="ro-RO"/>
              </w:rPr>
              <w:t>20</w:t>
            </w:r>
            <w:r>
              <w:rPr>
                <w:lang w:val="ro-RO"/>
              </w:rPr>
              <w:t xml:space="preserve">, </w:t>
            </w:r>
            <w:r>
              <w:rPr>
                <w:lang w:val="ro-RO"/>
              </w:rPr>
              <w:t>martie</w:t>
            </w:r>
            <w:r>
              <w:rPr>
                <w:lang w:val="ro-RO"/>
              </w:rPr>
              <w:t xml:space="preserve"> – prezent</w:t>
            </w:r>
          </w:p>
        </w:tc>
        <w:tc>
          <w:tcPr>
            <w:tcW w:w="7541" w:type="dxa"/>
            <w:shd w:val="clear" w:color="auto" w:fill="auto"/>
          </w:tcPr>
          <w:p w:rsidR="00443ABC" w:rsidRDefault="00443AB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Consilier patriarhal, Cancelaria Sfântului Sinod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shd w:val="clear" w:color="auto" w:fill="auto"/>
          </w:tcPr>
          <w:p w:rsidR="00443ABC" w:rsidRDefault="00443ABC" w:rsidP="00443ABC">
            <w:pPr>
              <w:pStyle w:val="ECVDate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Patriarhia Română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43ABC" w:rsidRDefault="00443ABC" w:rsidP="00443ABC">
            <w:pPr>
              <w:pStyle w:val="ECVDate"/>
              <w:rPr>
                <w:lang w:val="ro-RO"/>
              </w:rPr>
            </w:pPr>
          </w:p>
          <w:p w:rsidR="00443ABC" w:rsidRPr="00495E21" w:rsidRDefault="00443ABC" w:rsidP="00443AB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2009, ianuarie – 2020, februarie</w:t>
            </w:r>
          </w:p>
        </w:tc>
        <w:tc>
          <w:tcPr>
            <w:tcW w:w="7541" w:type="dxa"/>
            <w:shd w:val="clear" w:color="auto" w:fill="auto"/>
          </w:tcPr>
          <w:p w:rsidR="00443ABC" w:rsidRDefault="00443ABC" w:rsidP="00443ABC">
            <w:pPr>
              <w:pStyle w:val="ECVSubSectionHeading"/>
              <w:rPr>
                <w:lang w:val="ro-RO"/>
              </w:rPr>
            </w:pPr>
          </w:p>
          <w:p w:rsidR="00443ABC" w:rsidRPr="00495E21" w:rsidRDefault="00443ABC" w:rsidP="00443AB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Secretar eparhial coordonator, Centrul eparhial al Arhiepiscopiei Bucureștilor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/>
            <w:shd w:val="clear" w:color="auto" w:fill="auto"/>
          </w:tcPr>
          <w:p w:rsidR="00443ABC" w:rsidRPr="00495E21" w:rsidRDefault="00443ABC" w:rsidP="00443AB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Arhiepiscopia Bucureștilor, Centrul eparhial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43ABC" w:rsidRPr="00495E21" w:rsidRDefault="00443ABC" w:rsidP="00443AB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2009, ianuarie – prezent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Preot slujitor, Parohia </w:t>
            </w:r>
            <w:r w:rsidRPr="00F76CFD">
              <w:rPr>
                <w:i/>
                <w:lang w:val="ro-RO"/>
              </w:rPr>
              <w:t>Sfântul Ioan – Piață</w:t>
            </w:r>
            <w:r>
              <w:rPr>
                <w:lang w:val="ro-RO"/>
              </w:rPr>
              <w:t>, Protoieria Sectorului III Capitală, Bd. I. C. Brătianu, nr. 39, Sector III, București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/>
            <w:shd w:val="clear" w:color="auto" w:fill="auto"/>
          </w:tcPr>
          <w:p w:rsidR="00443ABC" w:rsidRPr="00495E21" w:rsidRDefault="00443ABC" w:rsidP="00443AB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Arhiepiscopia Bucureștilor, Protoieria Sectorului III Capitală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43ABC" w:rsidRPr="00495E21" w:rsidRDefault="00443ABC" w:rsidP="00443AB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2002, martie – 2009, ianuarie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Preot de caritate, numit pe seama capelei cu hramul </w:t>
            </w:r>
            <w:r w:rsidRPr="00BD51B2">
              <w:rPr>
                <w:i/>
                <w:lang w:val="ro-RO"/>
              </w:rPr>
              <w:t>Sfinții Împărați Constantin și Elena</w:t>
            </w:r>
            <w:r>
              <w:rPr>
                <w:lang w:val="ro-RO"/>
              </w:rPr>
              <w:t xml:space="preserve"> – Institutul Național de Endocrinologie </w:t>
            </w:r>
            <w:r w:rsidRPr="00BD51B2">
              <w:rPr>
                <w:i/>
                <w:lang w:val="ro-RO"/>
              </w:rPr>
              <w:t>C. I. Parhon</w:t>
            </w:r>
            <w:r>
              <w:rPr>
                <w:lang w:val="ro-RO"/>
              </w:rPr>
              <w:t xml:space="preserve"> din București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/>
            <w:shd w:val="clear" w:color="auto" w:fill="auto"/>
          </w:tcPr>
          <w:p w:rsidR="00443ABC" w:rsidRPr="00495E21" w:rsidRDefault="00443ABC" w:rsidP="00443AB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Arhiepiscopia Bucureștilor, Protoieria I Capitală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43ABC" w:rsidRPr="00495E21" w:rsidRDefault="00443ABC" w:rsidP="00443AB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2002, martie – 2008, decembrie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Specialist IT</w:t>
            </w:r>
          </w:p>
        </w:tc>
      </w:tr>
      <w:tr w:rsidR="00443ABC" w:rsidRPr="00495E21" w:rsidTr="00443ABC">
        <w:trPr>
          <w:cantSplit/>
        </w:trPr>
        <w:tc>
          <w:tcPr>
            <w:tcW w:w="2834" w:type="dxa"/>
            <w:vMerge/>
            <w:shd w:val="clear" w:color="auto" w:fill="auto"/>
          </w:tcPr>
          <w:p w:rsidR="00443ABC" w:rsidRPr="00495E21" w:rsidRDefault="00443ABC" w:rsidP="00443AB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43ABC" w:rsidRPr="00495E21" w:rsidRDefault="00443ABC" w:rsidP="00443AB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SC ESOP CONSULTING SRL, București</w:t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C03505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1633DEEB" wp14:editId="5EFB9DA8">
                  <wp:extent cx="4785360" cy="91440"/>
                  <wp:effectExtent l="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72350F" w:rsidRPr="00495E21" w:rsidRDefault="0072350F" w:rsidP="009A6B67">
      <w:pPr>
        <w:pStyle w:val="ECVComments"/>
        <w:jc w:val="lef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2350F" w:rsidRPr="00495E21" w:rsidTr="000843F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2350F" w:rsidRDefault="0072350F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2017 – prezent</w:t>
            </w:r>
          </w:p>
          <w:p w:rsidR="0072350F" w:rsidRDefault="0072350F" w:rsidP="0072350F">
            <w:pPr>
              <w:pStyle w:val="ECVDate"/>
              <w:rPr>
                <w:lang w:val="ro-RO"/>
              </w:rPr>
            </w:pPr>
          </w:p>
          <w:p w:rsidR="0072350F" w:rsidRDefault="0072350F" w:rsidP="0072350F">
            <w:pPr>
              <w:pStyle w:val="ECVDate"/>
              <w:rPr>
                <w:lang w:val="ro-RO"/>
              </w:rPr>
            </w:pPr>
          </w:p>
          <w:p w:rsidR="0072350F" w:rsidRDefault="0072350F" w:rsidP="0072350F">
            <w:pPr>
              <w:pStyle w:val="ECVDate"/>
              <w:rPr>
                <w:lang w:val="ro-RO"/>
              </w:rPr>
            </w:pPr>
          </w:p>
          <w:p w:rsidR="005E3904" w:rsidRDefault="005E3904" w:rsidP="0072350F">
            <w:pPr>
              <w:pStyle w:val="ECVDate"/>
              <w:rPr>
                <w:lang w:val="ro-RO"/>
              </w:rPr>
            </w:pPr>
          </w:p>
          <w:p w:rsidR="0072350F" w:rsidRDefault="005E3904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2018</w:t>
            </w:r>
          </w:p>
          <w:p w:rsidR="005E3904" w:rsidRPr="005E3904" w:rsidRDefault="005E3904" w:rsidP="0072350F">
            <w:pPr>
              <w:pStyle w:val="ECVDate"/>
              <w:rPr>
                <w:sz w:val="16"/>
                <w:szCs w:val="16"/>
                <w:lang w:val="ro-RO"/>
              </w:rPr>
            </w:pPr>
          </w:p>
          <w:p w:rsidR="005E3904" w:rsidRPr="005E3904" w:rsidRDefault="005E3904" w:rsidP="0072350F">
            <w:pPr>
              <w:pStyle w:val="ECVDate"/>
              <w:rPr>
                <w:sz w:val="16"/>
                <w:szCs w:val="16"/>
                <w:lang w:val="ro-RO"/>
              </w:rPr>
            </w:pPr>
          </w:p>
          <w:p w:rsidR="005E3904" w:rsidRPr="005E3904" w:rsidRDefault="005E3904" w:rsidP="0072350F">
            <w:pPr>
              <w:pStyle w:val="ECVDate"/>
              <w:rPr>
                <w:sz w:val="16"/>
                <w:szCs w:val="16"/>
                <w:lang w:val="ro-RO"/>
              </w:rPr>
            </w:pPr>
          </w:p>
          <w:p w:rsidR="005E3904" w:rsidRPr="005E3904" w:rsidRDefault="005E3904" w:rsidP="0072350F">
            <w:pPr>
              <w:pStyle w:val="ECVDate"/>
              <w:rPr>
                <w:sz w:val="16"/>
                <w:szCs w:val="16"/>
                <w:lang w:val="ro-RO"/>
              </w:rPr>
            </w:pPr>
          </w:p>
          <w:p w:rsidR="0072350F" w:rsidRPr="00495E21" w:rsidRDefault="0072350F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2012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72350F" w:rsidRPr="0072350F" w:rsidRDefault="0072350F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Școala </w:t>
            </w:r>
            <w:r w:rsidR="005E3904">
              <w:rPr>
                <w:lang w:val="ro-RO"/>
              </w:rPr>
              <w:t xml:space="preserve">Doctorală </w:t>
            </w:r>
            <w:r>
              <w:rPr>
                <w:i/>
                <w:lang w:val="ro-RO"/>
              </w:rPr>
              <w:t>Dumitru Stăniloae</w:t>
            </w:r>
            <w:r>
              <w:rPr>
                <w:lang w:val="ro-RO"/>
              </w:rPr>
              <w:t xml:space="preserve"> - student</w:t>
            </w:r>
          </w:p>
          <w:p w:rsidR="0072350F" w:rsidRPr="0072350F" w:rsidRDefault="0072350F" w:rsidP="0072350F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  <w:r w:rsidRPr="0072350F">
              <w:rPr>
                <w:color w:val="auto"/>
                <w:sz w:val="18"/>
                <w:szCs w:val="18"/>
                <w:lang w:val="ro-RO"/>
              </w:rPr>
              <w:t xml:space="preserve">Facultatea de Teologie Ortodoxă </w:t>
            </w:r>
            <w:r w:rsidRPr="0072350F">
              <w:rPr>
                <w:i/>
                <w:color w:val="auto"/>
                <w:sz w:val="18"/>
                <w:szCs w:val="18"/>
                <w:lang w:val="ro-RO"/>
              </w:rPr>
              <w:t>Justinian Patriarhul</w:t>
            </w:r>
            <w:r w:rsidRPr="0072350F">
              <w:rPr>
                <w:color w:val="auto"/>
                <w:sz w:val="18"/>
                <w:szCs w:val="18"/>
                <w:lang w:val="ro-RO"/>
              </w:rPr>
              <w:t>, Universitatea din București</w:t>
            </w:r>
          </w:p>
          <w:p w:rsidR="00391635" w:rsidRDefault="0072350F" w:rsidP="0072350F">
            <w:pPr>
              <w:pStyle w:val="ECVSubSectionHeading"/>
              <w:ind w:left="143" w:hanging="143"/>
              <w:rPr>
                <w:color w:val="auto"/>
                <w:sz w:val="18"/>
                <w:szCs w:val="18"/>
                <w:lang w:val="ro-RO"/>
              </w:rPr>
            </w:pPr>
            <w:r w:rsidRPr="005E3904">
              <w:rPr>
                <w:color w:val="auto"/>
                <w:lang w:val="ro-RO"/>
              </w:rPr>
              <w:t>▪</w:t>
            </w:r>
            <w:r w:rsidRPr="005E3904">
              <w:rPr>
                <w:color w:val="auto"/>
                <w:sz w:val="18"/>
                <w:szCs w:val="18"/>
                <w:lang w:val="ro-RO"/>
              </w:rPr>
              <w:tab/>
            </w:r>
            <w:r w:rsidRPr="005E3904">
              <w:rPr>
                <w:i/>
                <w:color w:val="auto"/>
                <w:sz w:val="18"/>
                <w:szCs w:val="18"/>
                <w:lang w:val="ro-RO"/>
              </w:rPr>
              <w:t>Religie și politică în simbolistica monetară a Imperiului Roman Târziu</w:t>
            </w:r>
          </w:p>
          <w:p w:rsidR="0072350F" w:rsidRPr="005E3904" w:rsidRDefault="0072350F" w:rsidP="0072350F">
            <w:pPr>
              <w:pStyle w:val="ECVSubSectionHeading"/>
              <w:ind w:left="143" w:hanging="143"/>
              <w:rPr>
                <w:color w:val="auto"/>
                <w:sz w:val="18"/>
                <w:szCs w:val="18"/>
                <w:lang w:val="ro-RO"/>
              </w:rPr>
            </w:pPr>
            <w:r w:rsidRPr="005E3904">
              <w:rPr>
                <w:color w:val="auto"/>
                <w:sz w:val="18"/>
                <w:szCs w:val="18"/>
                <w:lang w:val="ro-RO"/>
              </w:rPr>
              <w:t>coordonator: Pr. Prof. Dr. Emanoil Băbuș</w:t>
            </w:r>
          </w:p>
          <w:p w:rsidR="0072350F" w:rsidRDefault="0072350F" w:rsidP="0072350F">
            <w:pPr>
              <w:pStyle w:val="ECVSubSectionHeading"/>
              <w:rPr>
                <w:lang w:val="ro-RO"/>
              </w:rPr>
            </w:pPr>
          </w:p>
          <w:p w:rsidR="005E3904" w:rsidRPr="005E3904" w:rsidRDefault="005E3904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Conferința națională a Școlii Doctorale </w:t>
            </w:r>
            <w:r>
              <w:rPr>
                <w:i/>
                <w:lang w:val="ro-RO"/>
              </w:rPr>
              <w:t>Dumitru Stăniloae</w:t>
            </w:r>
          </w:p>
          <w:p w:rsidR="005E3904" w:rsidRDefault="005E3904" w:rsidP="0072350F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Participare la sesiunea de comunicări științifice și susținerea lucrării:</w:t>
            </w:r>
          </w:p>
          <w:p w:rsidR="005E3904" w:rsidRDefault="005E3904" w:rsidP="005E3904">
            <w:pPr>
              <w:pStyle w:val="ECVSubSectionHeading"/>
              <w:ind w:left="143" w:hanging="143"/>
              <w:rPr>
                <w:color w:val="auto"/>
                <w:sz w:val="18"/>
                <w:szCs w:val="18"/>
                <w:lang w:val="ro-RO"/>
              </w:rPr>
            </w:pPr>
            <w:r w:rsidRPr="005E3904">
              <w:rPr>
                <w:color w:val="auto"/>
                <w:sz w:val="18"/>
                <w:szCs w:val="18"/>
                <w:lang w:val="ro-RO"/>
              </w:rPr>
              <w:t>▪</w:t>
            </w:r>
            <w:r w:rsidRPr="005E3904">
              <w:rPr>
                <w:color w:val="auto"/>
                <w:sz w:val="18"/>
                <w:szCs w:val="18"/>
                <w:lang w:val="ro-RO"/>
              </w:rPr>
              <w:tab/>
            </w:r>
            <w:r w:rsidRPr="005E3904">
              <w:rPr>
                <w:rFonts w:ascii="Book Antiqua" w:eastAsia="Calibri" w:hAnsi="Book Antiqua" w:cs="Times New Roman"/>
                <w:i/>
                <w:color w:val="auto"/>
                <w:spacing w:val="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Trecerea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simbolistica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păgână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cea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creștină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în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emisiunea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monetară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>postumă</w:t>
            </w:r>
            <w:proofErr w:type="spellEnd"/>
            <w:r w:rsidRPr="005E3904">
              <w:rPr>
                <w:i/>
                <w:color w:val="auto"/>
                <w:sz w:val="18"/>
                <w:szCs w:val="18"/>
                <w:lang w:val="en-US"/>
              </w:rPr>
              <w:t xml:space="preserve"> DIVUS CONSTANTINUS</w:t>
            </w:r>
          </w:p>
          <w:p w:rsidR="009A6B67" w:rsidRDefault="009A6B67" w:rsidP="0072350F">
            <w:pPr>
              <w:pStyle w:val="ECVSubSectionHeading"/>
              <w:rPr>
                <w:lang w:val="ro-RO"/>
              </w:rPr>
            </w:pPr>
          </w:p>
          <w:p w:rsidR="0072350F" w:rsidRPr="00495E21" w:rsidRDefault="0072350F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Gradul </w:t>
            </w:r>
            <w:r w:rsidRPr="005E3904">
              <w:rPr>
                <w:lang w:val="ro-RO"/>
              </w:rPr>
              <w:t xml:space="preserve">I </w:t>
            </w:r>
            <w:r>
              <w:rPr>
                <w:lang w:val="ro-RO"/>
              </w:rPr>
              <w:t>în preoție</w:t>
            </w:r>
            <w:r w:rsidRPr="00495E21">
              <w:rPr>
                <w:lang w:val="ro-RO"/>
              </w:rPr>
              <w:t xml:space="preserve"> </w:t>
            </w:r>
            <w:r w:rsidR="00665747">
              <w:rPr>
                <w:lang w:val="ro-RO"/>
              </w:rPr>
              <w:t>– examen și lucrare</w:t>
            </w:r>
          </w:p>
        </w:tc>
        <w:tc>
          <w:tcPr>
            <w:tcW w:w="1305" w:type="dxa"/>
            <w:shd w:val="clear" w:color="auto" w:fill="auto"/>
          </w:tcPr>
          <w:p w:rsidR="0072350F" w:rsidRPr="00495E21" w:rsidRDefault="0072350F" w:rsidP="0072350F">
            <w:pPr>
              <w:pStyle w:val="ECVRightHeading"/>
              <w:rPr>
                <w:lang w:val="ro-RO"/>
              </w:rPr>
            </w:pPr>
          </w:p>
        </w:tc>
      </w:tr>
      <w:tr w:rsidR="0072350F" w:rsidRPr="00495E21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72350F" w:rsidRPr="00495E21" w:rsidRDefault="0072350F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2350F" w:rsidRPr="00495E21" w:rsidRDefault="0072350F" w:rsidP="0072350F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Facultatea de Teologie Ortodoxă </w:t>
            </w:r>
            <w:r w:rsidRPr="00703443">
              <w:rPr>
                <w:i/>
                <w:lang w:val="ro-RO"/>
              </w:rPr>
              <w:t>Justinian Patriarhul</w:t>
            </w:r>
            <w:r>
              <w:rPr>
                <w:lang w:val="ro-RO"/>
              </w:rPr>
              <w:t>, Universitatea din București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72350F" w:rsidRPr="00495E21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72350F" w:rsidRPr="00495E21" w:rsidRDefault="0072350F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2350F" w:rsidRPr="00495E21" w:rsidRDefault="0072350F" w:rsidP="0072350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703443">
              <w:rPr>
                <w:i/>
                <w:lang w:val="ro-RO"/>
              </w:rPr>
              <w:t>Tinerii și Biserica, efervescență religioasă și strategii pastorale</w:t>
            </w:r>
            <w:r>
              <w:rPr>
                <w:lang w:val="ro-RO"/>
              </w:rPr>
              <w:t>, coordonator: Pr. Lect. Dr. Vasile Crețu</w:t>
            </w:r>
            <w:r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– nota 10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shd w:val="clear" w:color="auto" w:fill="auto"/>
          </w:tcPr>
          <w:p w:rsidR="00AA4CE8" w:rsidRDefault="00AA4CE8" w:rsidP="0072350F">
            <w:pPr>
              <w:pStyle w:val="ECVDate"/>
              <w:rPr>
                <w:lang w:val="ro-RO"/>
              </w:rPr>
            </w:pPr>
          </w:p>
          <w:p w:rsidR="00AA4CE8" w:rsidRPr="00495E21" w:rsidRDefault="00AA4CE8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2000 - 2001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AA4CE8" w:rsidRDefault="00AA4CE8" w:rsidP="0072350F">
            <w:pPr>
              <w:pStyle w:val="ECVSubSectionHeading"/>
              <w:rPr>
                <w:lang w:val="ro-RO"/>
              </w:rPr>
            </w:pPr>
          </w:p>
          <w:p w:rsidR="00AA4CE8" w:rsidRPr="00495E21" w:rsidRDefault="00AA4CE8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Studii aprofundate/Master în Teologie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495E21" w:rsidRDefault="00AA4CE8" w:rsidP="009A6B6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Secția Istorie și Tradiție - Facultatea de Teologie Ortodoxă </w:t>
            </w:r>
            <w:r w:rsidRPr="00703443">
              <w:rPr>
                <w:i/>
                <w:lang w:val="ro-RO"/>
              </w:rPr>
              <w:t>Justinian Patriarhul</w:t>
            </w:r>
            <w:r>
              <w:rPr>
                <w:lang w:val="ro-RO"/>
              </w:rPr>
              <w:t>, Universitatea din București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495E21" w:rsidRDefault="00AA4CE8" w:rsidP="0072350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5D3614">
              <w:rPr>
                <w:i/>
                <w:lang w:val="ro-RO"/>
              </w:rPr>
              <w:t>Via</w:t>
            </w:r>
            <w:r>
              <w:rPr>
                <w:i/>
                <w:lang w:val="ro-RO"/>
              </w:rPr>
              <w:t>ț</w:t>
            </w:r>
            <w:r w:rsidRPr="005D3614">
              <w:rPr>
                <w:i/>
                <w:lang w:val="ro-RO"/>
              </w:rPr>
              <w:t>a cre</w:t>
            </w:r>
            <w:r>
              <w:rPr>
                <w:i/>
                <w:lang w:val="ro-RO"/>
              </w:rPr>
              <w:t>ș</w:t>
            </w:r>
            <w:r w:rsidRPr="005D3614">
              <w:rPr>
                <w:i/>
                <w:lang w:val="ro-RO"/>
              </w:rPr>
              <w:t>tin</w:t>
            </w:r>
            <w:r>
              <w:rPr>
                <w:i/>
                <w:lang w:val="ro-RO"/>
              </w:rPr>
              <w:t xml:space="preserve">ă în </w:t>
            </w:r>
            <w:proofErr w:type="spellStart"/>
            <w:r>
              <w:rPr>
                <w:i/>
                <w:lang w:val="ro-RO"/>
              </w:rPr>
              <w:t>Scythia</w:t>
            </w:r>
            <w:proofErr w:type="spellEnd"/>
            <w:r>
              <w:rPr>
                <w:i/>
                <w:lang w:val="ro-RO"/>
              </w:rPr>
              <w:t xml:space="preserve"> Minor în secolele III-VI î</w:t>
            </w:r>
            <w:r w:rsidRPr="005D3614">
              <w:rPr>
                <w:i/>
                <w:lang w:val="ro-RO"/>
              </w:rPr>
              <w:t>n lumina necropolelor</w:t>
            </w:r>
            <w:r>
              <w:rPr>
                <w:lang w:val="ro-RO"/>
              </w:rPr>
              <w:t>, coordonator Pr. Prof. Dr. Adrian Gabor – nota 10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A4CE8" w:rsidRDefault="00AA4CE8" w:rsidP="0072350F">
            <w:pPr>
              <w:pStyle w:val="ECVDate"/>
              <w:rPr>
                <w:lang w:val="ro-RO"/>
              </w:rPr>
            </w:pPr>
          </w:p>
          <w:p w:rsidR="00AA4CE8" w:rsidRPr="00495E21" w:rsidRDefault="00AA4CE8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lastRenderedPageBreak/>
              <w:t>1996 - 2000</w:t>
            </w:r>
          </w:p>
        </w:tc>
        <w:tc>
          <w:tcPr>
            <w:tcW w:w="6237" w:type="dxa"/>
            <w:shd w:val="clear" w:color="auto" w:fill="auto"/>
          </w:tcPr>
          <w:p w:rsidR="00AA4CE8" w:rsidRDefault="00AA4CE8" w:rsidP="0072350F">
            <w:pPr>
              <w:pStyle w:val="ECVSubSectionHeading"/>
              <w:rPr>
                <w:lang w:val="ro-RO"/>
              </w:rPr>
            </w:pPr>
          </w:p>
          <w:p w:rsidR="00AA4CE8" w:rsidRPr="00495E21" w:rsidRDefault="00AA4CE8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lastRenderedPageBreak/>
              <w:t>Licențiat în Teologie</w:t>
            </w:r>
          </w:p>
        </w:tc>
        <w:tc>
          <w:tcPr>
            <w:tcW w:w="1305" w:type="dxa"/>
            <w:shd w:val="clear" w:color="auto" w:fill="auto"/>
          </w:tcPr>
          <w:p w:rsidR="00AA4CE8" w:rsidRPr="00495E21" w:rsidRDefault="00AA4CE8" w:rsidP="0072350F">
            <w:pPr>
              <w:pStyle w:val="ECVRightHeading"/>
              <w:rPr>
                <w:lang w:val="ro-RO"/>
              </w:rPr>
            </w:pPr>
          </w:p>
        </w:tc>
      </w:tr>
      <w:tr w:rsidR="00AA4CE8" w:rsidRPr="00495E21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495E21" w:rsidRDefault="00AA4CE8" w:rsidP="0072350F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Secția Pastorală - Facultatea de Teologie Ortodoxă </w:t>
            </w:r>
            <w:r w:rsidRPr="00703443">
              <w:rPr>
                <w:i/>
                <w:lang w:val="ro-RO"/>
              </w:rPr>
              <w:t>Justinian Patriarhul</w:t>
            </w:r>
            <w:r>
              <w:rPr>
                <w:lang w:val="ro-RO"/>
              </w:rPr>
              <w:t>, Universitatea din București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703443" w:rsidRDefault="00AA4CE8" w:rsidP="0072350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E21704">
              <w:rPr>
                <w:i/>
                <w:lang w:val="ro-RO"/>
              </w:rPr>
              <w:t xml:space="preserve">Invazia hunilor </w:t>
            </w:r>
            <w:r>
              <w:rPr>
                <w:i/>
                <w:lang w:val="ro-RO"/>
              </w:rPr>
              <w:t>ș</w:t>
            </w:r>
            <w:r w:rsidRPr="00E21704">
              <w:rPr>
                <w:i/>
                <w:lang w:val="ro-RO"/>
              </w:rPr>
              <w:t>i impactul ei asupra Imperiului Bizantin</w:t>
            </w:r>
            <w:r>
              <w:rPr>
                <w:lang w:val="ro-RO"/>
              </w:rPr>
              <w:t>, coordonator Pr. Prof. Dr. Emanoil Băbuș – media examenului de licență – nota 10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A4CE8" w:rsidRDefault="00AA4CE8" w:rsidP="0072350F">
            <w:pPr>
              <w:pStyle w:val="ECVDate"/>
              <w:rPr>
                <w:lang w:val="ro-RO"/>
              </w:rPr>
            </w:pPr>
          </w:p>
          <w:p w:rsidR="00AA4CE8" w:rsidRPr="00495E21" w:rsidRDefault="00AA4CE8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1996, iulie</w:t>
            </w:r>
          </w:p>
        </w:tc>
        <w:tc>
          <w:tcPr>
            <w:tcW w:w="6237" w:type="dxa"/>
            <w:shd w:val="clear" w:color="auto" w:fill="auto"/>
          </w:tcPr>
          <w:p w:rsidR="00AA4CE8" w:rsidRDefault="00AA4CE8" w:rsidP="0072350F">
            <w:pPr>
              <w:pStyle w:val="ECVSubSectionHeading"/>
              <w:rPr>
                <w:lang w:val="ro-RO"/>
              </w:rPr>
            </w:pPr>
          </w:p>
          <w:p w:rsidR="00AA4CE8" w:rsidRPr="00495E21" w:rsidRDefault="00AA4CE8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Promovarea examenului de Capacitate preoțească</w:t>
            </w:r>
          </w:p>
        </w:tc>
        <w:tc>
          <w:tcPr>
            <w:tcW w:w="1305" w:type="dxa"/>
            <w:shd w:val="clear" w:color="auto" w:fill="auto"/>
          </w:tcPr>
          <w:p w:rsidR="00AA4CE8" w:rsidRPr="00495E21" w:rsidRDefault="00AA4CE8" w:rsidP="0072350F">
            <w:pPr>
              <w:pStyle w:val="ECVRightHeading"/>
              <w:rPr>
                <w:lang w:val="ro-RO"/>
              </w:rPr>
            </w:pPr>
          </w:p>
        </w:tc>
      </w:tr>
      <w:tr w:rsidR="00AA4CE8" w:rsidRPr="00495E21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495E21" w:rsidRDefault="00AA4CE8" w:rsidP="0072350F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Mitropolia Munteniei și Dobrogei, Episcopia Buzăului și Vrancei, Seminarul Teologic Ortodox </w:t>
            </w:r>
            <w:r w:rsidRPr="009259F0">
              <w:rPr>
                <w:i/>
                <w:lang w:val="ro-RO"/>
              </w:rPr>
              <w:t>Chesarie Episcopul</w:t>
            </w:r>
            <w:r>
              <w:rPr>
                <w:lang w:val="ro-RO"/>
              </w:rPr>
              <w:t xml:space="preserve"> din Buzău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AA4CE8" w:rsidRPr="00703443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703443" w:rsidRDefault="00AA4CE8" w:rsidP="0072350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Nota 9,18, corespunzătoare calificativului </w:t>
            </w:r>
            <w:r w:rsidRPr="009259F0">
              <w:rPr>
                <w:i/>
                <w:lang w:val="ro-RO"/>
              </w:rPr>
              <w:t>Foarte bine</w:t>
            </w:r>
          </w:p>
        </w:tc>
      </w:tr>
      <w:tr w:rsidR="00AA4CE8" w:rsidRPr="00495E21" w:rsidTr="000843F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A4CE8" w:rsidRPr="00495E21" w:rsidRDefault="00AA4CE8" w:rsidP="0072350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1991 - 1996</w:t>
            </w:r>
          </w:p>
        </w:tc>
        <w:tc>
          <w:tcPr>
            <w:tcW w:w="6237" w:type="dxa"/>
            <w:shd w:val="clear" w:color="auto" w:fill="auto"/>
          </w:tcPr>
          <w:p w:rsidR="00AA4CE8" w:rsidRPr="00495E21" w:rsidRDefault="00AA4CE8" w:rsidP="0072350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Obținerea diplomei de Bacalaureat și a celei de Atestat la terminarea ciclului liceal</w:t>
            </w:r>
          </w:p>
        </w:tc>
        <w:tc>
          <w:tcPr>
            <w:tcW w:w="1305" w:type="dxa"/>
            <w:shd w:val="clear" w:color="auto" w:fill="auto"/>
          </w:tcPr>
          <w:p w:rsidR="00AA4CE8" w:rsidRPr="00495E21" w:rsidRDefault="00AA4CE8" w:rsidP="0072350F">
            <w:pPr>
              <w:pStyle w:val="ECVRightHeading"/>
              <w:rPr>
                <w:lang w:val="ro-RO"/>
              </w:rPr>
            </w:pPr>
          </w:p>
        </w:tc>
      </w:tr>
      <w:tr w:rsidR="00AA4CE8" w:rsidRPr="00495E21" w:rsidTr="000843F6">
        <w:trPr>
          <w:cantSplit/>
          <w:trHeight w:val="57"/>
        </w:trPr>
        <w:tc>
          <w:tcPr>
            <w:tcW w:w="2834" w:type="dxa"/>
            <w:vMerge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495E21" w:rsidRDefault="00AA4CE8" w:rsidP="0072350F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Mitropolia Munteniei și Dobrogei, Episcopia Buzăului și Vrancei, Seminarul Teologic Ortodox </w:t>
            </w:r>
            <w:r w:rsidRPr="009259F0">
              <w:rPr>
                <w:i/>
                <w:lang w:val="ro-RO"/>
              </w:rPr>
              <w:t>Chesarie Episcopul</w:t>
            </w:r>
            <w:r>
              <w:rPr>
                <w:lang w:val="ro-RO"/>
              </w:rPr>
              <w:t xml:space="preserve"> din Buzău</w:t>
            </w:r>
          </w:p>
        </w:tc>
      </w:tr>
      <w:tr w:rsidR="00AA4CE8" w:rsidRPr="00703443" w:rsidTr="000843F6">
        <w:trPr>
          <w:cantSplit/>
        </w:trPr>
        <w:tc>
          <w:tcPr>
            <w:tcW w:w="2834" w:type="dxa"/>
            <w:vMerge/>
            <w:shd w:val="clear" w:color="auto" w:fill="auto"/>
          </w:tcPr>
          <w:p w:rsidR="00AA4CE8" w:rsidRPr="00495E21" w:rsidRDefault="00AA4CE8" w:rsidP="0072350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A4CE8" w:rsidRPr="00703443" w:rsidRDefault="00AA4CE8" w:rsidP="0072350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Media examenului de Atestat – 9,37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C03505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85360" cy="91440"/>
                  <wp:effectExtent l="0" t="0" r="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8203ED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8203ED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română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8203ED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03E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03E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03E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03E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03ED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B1/2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080417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080417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080417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080417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080417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A1/2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080417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A1/2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91635" w:rsidRDefault="00391635" w:rsidP="00391635">
            <w:pPr>
              <w:pStyle w:val="ECVLeftDetails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</w:p>
          <w:p w:rsidR="00391635" w:rsidRDefault="00391635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  <w:r>
              <w:rPr>
                <w:lang w:val="ro-RO"/>
              </w:rPr>
              <w:t>Listă publicații</w:t>
            </w:r>
          </w:p>
          <w:p w:rsidR="00771635" w:rsidRDefault="00771635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771635" w:rsidRDefault="00771635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771635" w:rsidRDefault="00771635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771635" w:rsidRDefault="00771635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6B7413" w:rsidRDefault="006B7413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6B7413" w:rsidRDefault="006B7413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6B7413" w:rsidRDefault="006B7413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6B7413" w:rsidRDefault="006B7413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</w:p>
          <w:p w:rsidR="00771635" w:rsidRPr="00495E21" w:rsidRDefault="00771635" w:rsidP="00391635">
            <w:pPr>
              <w:pStyle w:val="ECVLeftDetails"/>
              <w:ind w:firstLine="426"/>
              <w:jc w:val="left"/>
              <w:rPr>
                <w:lang w:val="ro-RO"/>
              </w:rPr>
            </w:pPr>
            <w:r w:rsidRPr="00495E21">
              <w:rPr>
                <w:lang w:val="ro-RO"/>
              </w:rPr>
              <w:t xml:space="preserve">Alte </w:t>
            </w:r>
            <w:r w:rsidR="00A74B52" w:rsidRPr="00495E21">
              <w:rPr>
                <w:lang w:val="ro-RO"/>
              </w:rPr>
              <w:t>competențe</w:t>
            </w:r>
          </w:p>
        </w:tc>
        <w:tc>
          <w:tcPr>
            <w:tcW w:w="7542" w:type="dxa"/>
            <w:shd w:val="clear" w:color="auto" w:fill="auto"/>
          </w:tcPr>
          <w:p w:rsidR="00A63908" w:rsidRPr="00A63908" w:rsidRDefault="00A63908" w:rsidP="00A63908">
            <w:pPr>
              <w:pStyle w:val="ECVSectionBullet"/>
              <w:ind w:left="143"/>
              <w:rPr>
                <w:lang w:val="ro-RO"/>
              </w:rPr>
            </w:pPr>
          </w:p>
          <w:p w:rsidR="000843F6" w:rsidRPr="000843F6" w:rsidRDefault="000843F6" w:rsidP="00391635">
            <w:pPr>
              <w:pStyle w:val="ECVSectionBullet"/>
              <w:numPr>
                <w:ilvl w:val="0"/>
                <w:numId w:val="3"/>
              </w:numPr>
              <w:ind w:left="143" w:hanging="143"/>
              <w:rPr>
                <w:lang w:val="ro-RO"/>
              </w:rPr>
            </w:pPr>
            <w:r>
              <w:rPr>
                <w:i/>
                <w:iCs/>
                <w:lang w:val="ro-RO"/>
              </w:rPr>
              <w:t>„Monede antice din colecția Bibliotecii Sfântului Sinod (secolele II î.Hr. – IV d.Hr.)”</w:t>
            </w:r>
            <w:r w:rsidR="00B01E28">
              <w:rPr>
                <w:i/>
                <w:iCs/>
                <w:lang w:val="ro-RO"/>
              </w:rPr>
              <w:t>, Cercetări Numismatice XXV, București, 2019, pp. 325-338.</w:t>
            </w:r>
          </w:p>
          <w:p w:rsidR="000843F6" w:rsidRPr="000843F6" w:rsidRDefault="000843F6" w:rsidP="000843F6">
            <w:pPr>
              <w:pStyle w:val="ECVSectionBullet"/>
              <w:ind w:left="143"/>
              <w:rPr>
                <w:lang w:val="ro-RO"/>
              </w:rPr>
            </w:pPr>
          </w:p>
          <w:p w:rsidR="00391635" w:rsidRPr="00930321" w:rsidRDefault="000843F6" w:rsidP="00391635">
            <w:pPr>
              <w:pStyle w:val="ECVSectionBullet"/>
              <w:numPr>
                <w:ilvl w:val="0"/>
                <w:numId w:val="3"/>
              </w:numPr>
              <w:ind w:left="143" w:hanging="143"/>
              <w:rPr>
                <w:lang w:val="ro-RO"/>
              </w:rPr>
            </w:pPr>
            <w:r w:rsidRPr="000843F6">
              <w:rPr>
                <w:i/>
                <w:color w:val="auto"/>
                <w:szCs w:val="18"/>
                <w:lang w:val="ro-RO"/>
              </w:rPr>
              <w:t xml:space="preserve">„Trecerea de la simbolistica păgână la cea creștină în emisiunea monetară postumă Divvs Constantinvs (337 d. Hr.)”, </w:t>
            </w:r>
            <w:r w:rsidRPr="000843F6">
              <w:rPr>
                <w:i/>
                <w:iCs/>
                <w:color w:val="auto"/>
                <w:szCs w:val="18"/>
                <w:lang w:val="ro-RO"/>
              </w:rPr>
              <w:t xml:space="preserve">Studia Doctoralia, </w:t>
            </w:r>
            <w:r w:rsidRPr="000843F6">
              <w:rPr>
                <w:i/>
                <w:color w:val="auto"/>
                <w:szCs w:val="18"/>
                <w:lang w:val="ro-RO"/>
              </w:rPr>
              <w:t>Adrian Lemeni și Diac. Gheorghe-Cristian Popa, coord., Anul I, Nr. 1/2018, editura BASILICA, București, 2018, pp. 395 – 412</w:t>
            </w:r>
            <w:r w:rsidR="00930321">
              <w:rPr>
                <w:color w:val="auto"/>
                <w:szCs w:val="18"/>
                <w:lang w:val="en-US"/>
              </w:rPr>
              <w:t>.</w:t>
            </w:r>
          </w:p>
          <w:p w:rsidR="00930321" w:rsidRPr="0056050C" w:rsidRDefault="00930321" w:rsidP="00930321">
            <w:pPr>
              <w:pStyle w:val="ECVSectionBullet"/>
              <w:ind w:left="143"/>
              <w:rPr>
                <w:lang w:val="ro-RO"/>
              </w:rPr>
            </w:pPr>
          </w:p>
          <w:p w:rsidR="0056050C" w:rsidRDefault="0056050C" w:rsidP="00391635">
            <w:pPr>
              <w:pStyle w:val="ECVSectionBullet"/>
              <w:numPr>
                <w:ilvl w:val="0"/>
                <w:numId w:val="3"/>
              </w:numPr>
              <w:ind w:left="143" w:hanging="143"/>
              <w:rPr>
                <w:lang w:val="ro-RO"/>
              </w:rPr>
            </w:pPr>
            <w:r>
              <w:rPr>
                <w:i/>
                <w:lang w:val="ro-RO"/>
              </w:rPr>
              <w:t>Sensul teologic al suferinței și vindecării</w:t>
            </w:r>
            <w:r>
              <w:rPr>
                <w:lang w:val="ro-RO"/>
              </w:rPr>
              <w:t xml:space="preserve">, </w:t>
            </w:r>
            <w:r w:rsidR="009A6B67">
              <w:rPr>
                <w:lang w:val="ro-RO"/>
              </w:rPr>
              <w:t>Glasul Bisericii, nr.</w:t>
            </w:r>
            <w:r w:rsidR="00930321">
              <w:rPr>
                <w:lang w:val="ro-RO"/>
              </w:rPr>
              <w:t xml:space="preserve"> 7-12</w:t>
            </w:r>
            <w:r w:rsidR="009A6B67">
              <w:rPr>
                <w:lang w:val="ro-RO"/>
              </w:rPr>
              <w:t xml:space="preserve"> /20</w:t>
            </w:r>
            <w:r w:rsidR="00930321">
              <w:rPr>
                <w:lang w:val="ro-RO"/>
              </w:rPr>
              <w:t>17</w:t>
            </w:r>
            <w:r w:rsidR="009A6B67">
              <w:rPr>
                <w:lang w:val="ro-RO"/>
              </w:rPr>
              <w:t xml:space="preserve">, București, </w:t>
            </w:r>
            <w:r w:rsidR="00930321">
              <w:rPr>
                <w:lang w:val="ro-RO"/>
              </w:rPr>
              <w:t>2018</w:t>
            </w:r>
            <w:r w:rsidR="009A6B67">
              <w:rPr>
                <w:lang w:val="ro-RO"/>
              </w:rPr>
              <w:t xml:space="preserve">. </w:t>
            </w:r>
          </w:p>
          <w:p w:rsidR="00771635" w:rsidRDefault="00771635" w:rsidP="00771635">
            <w:pPr>
              <w:pStyle w:val="ECVSectionBullet"/>
              <w:rPr>
                <w:lang w:val="ro-RO"/>
              </w:rPr>
            </w:pPr>
          </w:p>
          <w:p w:rsidR="00771635" w:rsidRDefault="00771635" w:rsidP="00771635">
            <w:pPr>
              <w:pStyle w:val="ECVSectionBullet"/>
              <w:rPr>
                <w:lang w:val="ro-RO"/>
              </w:rPr>
            </w:pPr>
          </w:p>
          <w:p w:rsidR="00771635" w:rsidRDefault="00771635" w:rsidP="00771635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cercetare arheologică și experiență de șantier, dobândite în urma participării la două campanii de săpături arheologice în situl de la Sărata Monteoru, județul Buzău, în anii 1997, iunie – septembrie, și 1998, iulie – septembrie, sub îndrumarea Prof. Dr. Eugenia Zaharia (Institutul Național de Arheologie </w:t>
            </w:r>
            <w:r w:rsidRPr="005B27A0">
              <w:rPr>
                <w:i/>
                <w:lang w:val="ro-RO"/>
              </w:rPr>
              <w:t>Vasile Pârvan</w:t>
            </w:r>
            <w:r>
              <w:rPr>
                <w:lang w:val="ro-RO"/>
              </w:rPr>
              <w:t xml:space="preserve"> din București);</w:t>
            </w:r>
          </w:p>
          <w:p w:rsidR="00391635" w:rsidRPr="00F731BD" w:rsidRDefault="00771635" w:rsidP="00391635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cunoștințe </w:t>
            </w:r>
            <w:r w:rsidR="00C47854">
              <w:rPr>
                <w:lang w:val="ro-RO"/>
              </w:rPr>
              <w:t>în domeniul numismatic</w:t>
            </w:r>
            <w:r>
              <w:rPr>
                <w:lang w:val="ro-RO"/>
              </w:rPr>
              <w:t xml:space="preserve"> (identificare </w:t>
            </w:r>
            <w:r w:rsidR="00C47854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clasificare monede, în special perioada antică</w:t>
            </w:r>
            <w:r w:rsidR="00C47854">
              <w:rPr>
                <w:lang w:val="ro-RO"/>
              </w:rPr>
              <w:t xml:space="preserve"> și antică târzie</w:t>
            </w:r>
            <w:r>
              <w:rPr>
                <w:lang w:val="ro-RO"/>
              </w:rPr>
              <w:t>), autodidact</w:t>
            </w:r>
            <w:r w:rsidR="00F731BD">
              <w:rPr>
                <w:lang w:val="ro-RO"/>
              </w:rPr>
              <w:t>.</w:t>
            </w:r>
          </w:p>
          <w:p w:rsidR="00391635" w:rsidRPr="00080417" w:rsidRDefault="00391635" w:rsidP="00391635">
            <w:pPr>
              <w:pStyle w:val="ECVSectionBullet"/>
              <w:rPr>
                <w:lang w:val="ro-RO"/>
              </w:rPr>
            </w:pP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4"/>
          <w:footerReference w:type="even" r:id="rId15"/>
          <w:footerReference w:type="default" r:id="rId16"/>
          <w:pgSz w:w="11906" w:h="16838"/>
          <w:pgMar w:top="1927" w:right="680" w:bottom="1474" w:left="850" w:header="680" w:footer="624" w:gutter="0"/>
          <w:cols w:space="720"/>
        </w:sectPr>
      </w:pPr>
    </w:p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4070B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AM, </w:t>
            </w:r>
            <w:r w:rsidR="00C8172F" w:rsidRPr="00495E21">
              <w:rPr>
                <w:lang w:val="ro-RO"/>
              </w:rPr>
              <w:t>B</w:t>
            </w:r>
            <w:r>
              <w:rPr>
                <w:lang w:val="ro-RO"/>
              </w:rPr>
              <w:t>, B1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C03505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85360" cy="91440"/>
                  <wp:effectExtent l="0" t="0" r="0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F06331" w:rsidRDefault="00F06331" w:rsidP="00F0633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Colaborare </w:t>
            </w:r>
            <w:r w:rsidR="00587646">
              <w:rPr>
                <w:lang w:val="ro-RO"/>
              </w:rPr>
              <w:t xml:space="preserve">TRINITAS TV, emisiunea </w:t>
            </w:r>
            <w:proofErr w:type="spellStart"/>
            <w:r w:rsidR="00587646">
              <w:rPr>
                <w:lang w:val="ro-RO"/>
              </w:rPr>
              <w:t>Filocalia</w:t>
            </w:r>
            <w:proofErr w:type="spellEnd"/>
            <w:r w:rsidR="00587646">
              <w:rPr>
                <w:lang w:val="ro-RO"/>
              </w:rPr>
              <w:t xml:space="preserve"> și alte emisiuni – perioada: 2007 – 2009, și sporadic, până în prezent;</w:t>
            </w:r>
          </w:p>
          <w:p w:rsidR="00C8172F" w:rsidRDefault="00F06331" w:rsidP="00F0633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F06331">
              <w:rPr>
                <w:lang w:val="ro-RO"/>
              </w:rPr>
              <w:t xml:space="preserve">colaborare </w:t>
            </w:r>
            <w:r w:rsidR="00587646" w:rsidRPr="00F06331">
              <w:rPr>
                <w:lang w:val="ro-RO"/>
              </w:rPr>
              <w:t>Radio Rom</w:t>
            </w:r>
            <w:r w:rsidR="00587646">
              <w:rPr>
                <w:lang w:val="ro-RO"/>
              </w:rPr>
              <w:t>â</w:t>
            </w:r>
            <w:r w:rsidR="00587646" w:rsidRPr="00F06331">
              <w:rPr>
                <w:lang w:val="ro-RO"/>
              </w:rPr>
              <w:t>nia Actualit</w:t>
            </w:r>
            <w:r w:rsidR="00587646">
              <w:rPr>
                <w:lang w:val="ro-RO"/>
              </w:rPr>
              <w:t>ăți</w:t>
            </w:r>
            <w:r w:rsidR="00587646" w:rsidRPr="00F06331">
              <w:rPr>
                <w:lang w:val="ro-RO"/>
              </w:rPr>
              <w:t xml:space="preserve"> </w:t>
            </w:r>
            <w:r w:rsidRPr="00F06331">
              <w:rPr>
                <w:lang w:val="ro-RO"/>
              </w:rPr>
              <w:t xml:space="preserve">– emisiunea </w:t>
            </w:r>
            <w:r w:rsidR="00587646" w:rsidRPr="002C7F7E">
              <w:rPr>
                <w:i/>
                <w:lang w:val="ro-RO"/>
              </w:rPr>
              <w:t>Buna Dimineața România</w:t>
            </w:r>
            <w:r w:rsidR="00587646" w:rsidRPr="00F06331">
              <w:rPr>
                <w:lang w:val="ro-RO"/>
              </w:rPr>
              <w:t xml:space="preserve"> </w:t>
            </w:r>
            <w:r w:rsidRPr="00F06331">
              <w:rPr>
                <w:lang w:val="ro-RO"/>
              </w:rPr>
              <w:t>– rubrica religioas</w:t>
            </w:r>
            <w:r w:rsidR="00816234">
              <w:rPr>
                <w:lang w:val="ro-RO"/>
              </w:rPr>
              <w:t>ă</w:t>
            </w:r>
            <w:r w:rsidR="002C7F7E">
              <w:rPr>
                <w:lang w:val="ro-RO"/>
              </w:rPr>
              <w:t xml:space="preserve"> și emisiunea </w:t>
            </w:r>
            <w:r w:rsidR="002C7F7E" w:rsidRPr="002C7F7E">
              <w:rPr>
                <w:i/>
                <w:lang w:val="ro-RO"/>
              </w:rPr>
              <w:t>De la suflet la suflet</w:t>
            </w:r>
            <w:r>
              <w:rPr>
                <w:lang w:val="ro-RO"/>
              </w:rPr>
              <w:t xml:space="preserve"> (D-na Doina Crețu</w:t>
            </w:r>
            <w:r w:rsidR="00816234">
              <w:rPr>
                <w:lang w:val="ro-RO"/>
              </w:rPr>
              <w:t>, Dl Duță Cătălin</w:t>
            </w:r>
            <w:r>
              <w:rPr>
                <w:lang w:val="ro-RO"/>
              </w:rPr>
              <w:t>) – perioada</w:t>
            </w:r>
            <w:r w:rsidR="00587646">
              <w:rPr>
                <w:lang w:val="ro-RO"/>
              </w:rPr>
              <w:t>:</w:t>
            </w:r>
            <w:r>
              <w:rPr>
                <w:lang w:val="ro-RO"/>
              </w:rPr>
              <w:t xml:space="preserve"> </w:t>
            </w:r>
            <w:r w:rsidR="00010D80">
              <w:rPr>
                <w:lang w:val="ro-RO"/>
              </w:rPr>
              <w:t xml:space="preserve">2004 – 2008, lunar și bilunar, și </w:t>
            </w:r>
            <w:r>
              <w:rPr>
                <w:lang w:val="ro-RO"/>
              </w:rPr>
              <w:t>2006, ianuarie – 2007, decembrie, înregistrare săptămânală</w:t>
            </w:r>
            <w:r w:rsidR="00587646">
              <w:rPr>
                <w:lang w:val="ro-RO"/>
              </w:rPr>
              <w:t>;</w:t>
            </w:r>
          </w:p>
          <w:p w:rsidR="00587646" w:rsidRDefault="00587646" w:rsidP="00F0633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Membru al  </w:t>
            </w:r>
            <w:r w:rsidRPr="00255BE8">
              <w:rPr>
                <w:i/>
                <w:lang w:val="ro-RO"/>
              </w:rPr>
              <w:t>Coralei Ortodoxe Sfântul Andrei</w:t>
            </w:r>
            <w:r>
              <w:rPr>
                <w:lang w:val="ro-RO"/>
              </w:rPr>
              <w:t xml:space="preserve"> a preoților din Capitală – perioada</w:t>
            </w:r>
            <w:r w:rsidR="00B63545">
              <w:rPr>
                <w:lang w:val="ro-RO"/>
              </w:rPr>
              <w:t>:</w:t>
            </w:r>
            <w:r>
              <w:rPr>
                <w:lang w:val="ro-RO"/>
              </w:rPr>
              <w:t xml:space="preserve"> 2006 – 2009;</w:t>
            </w:r>
          </w:p>
          <w:p w:rsidR="00587646" w:rsidRDefault="00587646" w:rsidP="00F0633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participarea la cursurile organizate de USAID in colaborare cu Arhiepiscopia Bucureștilor si IOCC, modulul: </w:t>
            </w:r>
            <w:r>
              <w:rPr>
                <w:i/>
                <w:lang w:val="ro-RO"/>
              </w:rPr>
              <w:t xml:space="preserve">Prevenirea violentei in familie – </w:t>
            </w:r>
            <w:r>
              <w:rPr>
                <w:lang w:val="ro-RO"/>
              </w:rPr>
              <w:t>2006;</w:t>
            </w:r>
          </w:p>
          <w:p w:rsidR="003C19E4" w:rsidRPr="00495E21" w:rsidRDefault="003C19E4" w:rsidP="00F0633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editarea foii religioase a Institutului </w:t>
            </w:r>
            <w:r w:rsidRPr="003C19E4">
              <w:rPr>
                <w:i/>
                <w:lang w:val="ro-RO"/>
              </w:rPr>
              <w:t>C. I. Parhon</w:t>
            </w:r>
            <w:r>
              <w:rPr>
                <w:lang w:val="ro-RO"/>
              </w:rPr>
              <w:t xml:space="preserve"> din București</w:t>
            </w:r>
            <w:r w:rsidR="00E15713">
              <w:rPr>
                <w:lang w:val="ro-RO"/>
              </w:rPr>
              <w:t xml:space="preserve">: </w:t>
            </w:r>
            <w:r w:rsidR="00E15713" w:rsidRPr="00E15713">
              <w:rPr>
                <w:i/>
                <w:lang w:val="ro-RO"/>
              </w:rPr>
              <w:t>Euharistia</w:t>
            </w:r>
            <w:r w:rsidR="00E15713">
              <w:rPr>
                <w:lang w:val="ro-RO"/>
              </w:rPr>
              <w:t xml:space="preserve"> – perioada</w:t>
            </w:r>
            <w:r w:rsidR="00F346EC">
              <w:rPr>
                <w:lang w:val="ro-RO"/>
              </w:rPr>
              <w:t>:</w:t>
            </w:r>
            <w:r w:rsidR="00E15713">
              <w:rPr>
                <w:lang w:val="ro-RO"/>
              </w:rPr>
              <w:t xml:space="preserve"> 2002 – 2007;</w:t>
            </w:r>
          </w:p>
          <w:p w:rsidR="00F57998" w:rsidRDefault="00E15713" w:rsidP="00E1571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membru  al Comisiei de redacție a revistei </w:t>
            </w:r>
            <w:r>
              <w:rPr>
                <w:i/>
                <w:lang w:val="ro-RO"/>
              </w:rPr>
              <w:t>MUGURI</w:t>
            </w:r>
            <w:r>
              <w:rPr>
                <w:lang w:val="ro-RO"/>
              </w:rPr>
              <w:t xml:space="preserve"> a Seminarului Teologic Ortodox </w:t>
            </w:r>
            <w:r w:rsidRPr="00E15713">
              <w:rPr>
                <w:i/>
                <w:lang w:val="ro-RO"/>
              </w:rPr>
              <w:t xml:space="preserve">Chesarie Episcopul </w:t>
            </w:r>
            <w:r>
              <w:rPr>
                <w:lang w:val="ro-RO"/>
              </w:rPr>
              <w:t>din Buzău și colaborare la Radio Campus din Buzău</w:t>
            </w:r>
            <w:r w:rsidRPr="00495E21">
              <w:rPr>
                <w:lang w:val="ro-RO"/>
              </w:rPr>
              <w:t xml:space="preserve"> </w:t>
            </w:r>
            <w:r w:rsidR="00C8172F"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- perioada: 1994 – 1996</w:t>
            </w:r>
            <w:r w:rsidR="00F57998">
              <w:rPr>
                <w:lang w:val="ro-RO"/>
              </w:rPr>
              <w:t>;</w:t>
            </w:r>
          </w:p>
          <w:p w:rsidR="008A678E" w:rsidRPr="006221A2" w:rsidRDefault="00F57998" w:rsidP="006221A2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membru fondator </w:t>
            </w:r>
            <w:r w:rsidR="009267F1">
              <w:rPr>
                <w:lang w:val="ro-RO"/>
              </w:rPr>
              <w:t>ș</w:t>
            </w:r>
            <w:r>
              <w:rPr>
                <w:lang w:val="ro-RO"/>
              </w:rPr>
              <w:t>i secretar al Funda</w:t>
            </w:r>
            <w:r w:rsidR="009267F1">
              <w:rPr>
                <w:lang w:val="ro-RO"/>
              </w:rPr>
              <w:t>ț</w:t>
            </w:r>
            <w:r>
              <w:rPr>
                <w:lang w:val="ro-RO"/>
              </w:rPr>
              <w:t>iei pentru copii Sf</w:t>
            </w:r>
            <w:r w:rsidR="009267F1">
              <w:rPr>
                <w:lang w:val="ro-RO"/>
              </w:rPr>
              <w:t>â</w:t>
            </w:r>
            <w:r>
              <w:rPr>
                <w:lang w:val="ro-RO"/>
              </w:rPr>
              <w:t>ntul Sava din Buz</w:t>
            </w:r>
            <w:r w:rsidR="009267F1">
              <w:rPr>
                <w:lang w:val="ro-RO"/>
              </w:rPr>
              <w:t>ă</w:t>
            </w:r>
            <w:r>
              <w:rPr>
                <w:lang w:val="ro-RO"/>
              </w:rPr>
              <w:t xml:space="preserve">u sub </w:t>
            </w:r>
            <w:r w:rsidR="009267F1">
              <w:rPr>
                <w:lang w:val="ro-RO"/>
              </w:rPr>
              <w:t>î</w:t>
            </w:r>
            <w:r>
              <w:rPr>
                <w:lang w:val="ro-RO"/>
              </w:rPr>
              <w:t>ndrumarea pr. Prof. Dr. Milea Mihail, desf</w:t>
            </w:r>
            <w:r w:rsidR="009267F1">
              <w:rPr>
                <w:lang w:val="ro-RO"/>
              </w:rPr>
              <w:t>ăș</w:t>
            </w:r>
            <w:r>
              <w:rPr>
                <w:lang w:val="ro-RO"/>
              </w:rPr>
              <w:t>ur</w:t>
            </w:r>
            <w:r w:rsidR="009267F1">
              <w:rPr>
                <w:lang w:val="ro-RO"/>
              </w:rPr>
              <w:t>â</w:t>
            </w:r>
            <w:r>
              <w:rPr>
                <w:lang w:val="ro-RO"/>
              </w:rPr>
              <w:t>nd activitate social</w:t>
            </w:r>
            <w:r w:rsidR="009267F1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="009267F1">
              <w:rPr>
                <w:lang w:val="ro-RO"/>
              </w:rPr>
              <w:t>ș</w:t>
            </w:r>
            <w:r>
              <w:rPr>
                <w:lang w:val="ro-RO"/>
              </w:rPr>
              <w:t>i misionar</w:t>
            </w:r>
            <w:r w:rsidR="009267F1">
              <w:rPr>
                <w:lang w:val="ro-RO"/>
              </w:rPr>
              <w:t>ă</w:t>
            </w:r>
            <w:r>
              <w:rPr>
                <w:lang w:val="ro-RO"/>
              </w:rPr>
              <w:t xml:space="preserve"> prin participarea la ridicarea c</w:t>
            </w:r>
            <w:r w:rsidR="009267F1">
              <w:rPr>
                <w:lang w:val="ro-RO"/>
              </w:rPr>
              <w:t>ă</w:t>
            </w:r>
            <w:r>
              <w:rPr>
                <w:lang w:val="ro-RO"/>
              </w:rPr>
              <w:t>minului de b</w:t>
            </w:r>
            <w:r w:rsidR="009267F1">
              <w:rPr>
                <w:lang w:val="ro-RO"/>
              </w:rPr>
              <w:t>ă</w:t>
            </w:r>
            <w:r>
              <w:rPr>
                <w:lang w:val="ro-RO"/>
              </w:rPr>
              <w:t>tr</w:t>
            </w:r>
            <w:r w:rsidR="009267F1">
              <w:rPr>
                <w:lang w:val="ro-RO"/>
              </w:rPr>
              <w:t>â</w:t>
            </w:r>
            <w:r>
              <w:rPr>
                <w:lang w:val="ro-RO"/>
              </w:rPr>
              <w:t>ni din C</w:t>
            </w:r>
            <w:r w:rsidR="009267F1">
              <w:rPr>
                <w:lang w:val="ro-RO"/>
              </w:rPr>
              <w:t>â</w:t>
            </w:r>
            <w:r>
              <w:rPr>
                <w:lang w:val="ro-RO"/>
              </w:rPr>
              <w:t xml:space="preserve">mpeni </w:t>
            </w:r>
            <w:r w:rsidR="009267F1">
              <w:rPr>
                <w:lang w:val="ro-RO"/>
              </w:rPr>
              <w:t>ș</w:t>
            </w:r>
            <w:r>
              <w:rPr>
                <w:lang w:val="ro-RO"/>
              </w:rPr>
              <w:t>i a taberei pentru copii de la Bisoca din jud. Buz</w:t>
            </w:r>
            <w:r w:rsidR="009267F1">
              <w:rPr>
                <w:lang w:val="ro-RO"/>
              </w:rPr>
              <w:t>ă</w:t>
            </w:r>
            <w:r>
              <w:rPr>
                <w:lang w:val="ro-RO"/>
              </w:rPr>
              <w:t>u; editarea revistei</w:t>
            </w:r>
            <w:r>
              <w:rPr>
                <w:i/>
                <w:lang w:val="ro-RO"/>
              </w:rPr>
              <w:t xml:space="preserve"> </w:t>
            </w:r>
            <w:r w:rsidR="009267F1">
              <w:rPr>
                <w:i/>
                <w:lang w:val="ro-RO"/>
              </w:rPr>
              <w:t>Altarul Copiilor</w:t>
            </w:r>
            <w:r w:rsidR="00FC419E">
              <w:rPr>
                <w:i/>
                <w:lang w:val="ro-RO"/>
              </w:rPr>
              <w:t xml:space="preserve"> </w:t>
            </w:r>
            <w:r w:rsidR="00FC419E">
              <w:rPr>
                <w:lang w:val="ro-RO"/>
              </w:rPr>
              <w:t>– perioada:</w:t>
            </w:r>
            <w:r w:rsidR="00F17EDC">
              <w:rPr>
                <w:lang w:val="ro-RO"/>
              </w:rPr>
              <w:t xml:space="preserve"> 1992 </w:t>
            </w:r>
            <w:r w:rsidR="001408C5">
              <w:rPr>
                <w:lang w:val="ro-RO"/>
              </w:rPr>
              <w:t>–</w:t>
            </w:r>
            <w:r w:rsidR="00F17EDC">
              <w:rPr>
                <w:lang w:val="ro-RO"/>
              </w:rPr>
              <w:t xml:space="preserve"> 1996</w:t>
            </w:r>
            <w:r w:rsidR="006221A2">
              <w:rPr>
                <w:lang w:val="ro-RO"/>
              </w:rPr>
              <w:t>.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p w:rsidR="00C8172F" w:rsidRDefault="006D4E21">
      <w:pPr>
        <w:rPr>
          <w:lang w:val="ro-RO"/>
        </w:rPr>
      </w:pPr>
      <w:r>
        <w:rPr>
          <w:lang w:val="ro-RO"/>
        </w:rPr>
        <w:t xml:space="preserve">Actualizat la </w:t>
      </w:r>
      <w:r w:rsidR="00A74B52">
        <w:rPr>
          <w:lang w:val="ro-RO"/>
        </w:rPr>
        <w:t>23</w:t>
      </w:r>
      <w:r>
        <w:rPr>
          <w:lang w:val="ro-RO"/>
        </w:rPr>
        <w:t>.0</w:t>
      </w:r>
      <w:r w:rsidR="00A74B52">
        <w:rPr>
          <w:lang w:val="ro-RO"/>
        </w:rPr>
        <w:t>7</w:t>
      </w:r>
      <w:r>
        <w:rPr>
          <w:lang w:val="ro-RO"/>
        </w:rPr>
        <w:t>.20</w:t>
      </w:r>
      <w:r w:rsidR="00A74B52">
        <w:rPr>
          <w:lang w:val="ro-RO"/>
        </w:rPr>
        <w:t>20</w:t>
      </w:r>
    </w:p>
    <w:p w:rsidR="00540281" w:rsidRPr="00495E21" w:rsidRDefault="00540281">
      <w:pPr>
        <w:rPr>
          <w:lang w:val="ro-RO"/>
        </w:rPr>
      </w:pPr>
      <w:r>
        <w:rPr>
          <w:noProof/>
          <w:lang w:val="ro-RO" w:eastAsia="ro-RO" w:bidi="ar-SA"/>
        </w:rPr>
        <w:drawing>
          <wp:inline distT="0" distB="0" distL="0" distR="0">
            <wp:extent cx="995508" cy="312420"/>
            <wp:effectExtent l="0" t="0" r="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973" cy="31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281" w:rsidRPr="00495E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6890" w:rsidRDefault="00AB6890">
      <w:r>
        <w:separator/>
      </w:r>
    </w:p>
  </w:endnote>
  <w:endnote w:type="continuationSeparator" w:id="0">
    <w:p w:rsidR="00AB6890" w:rsidRDefault="00AB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Pr="00E026E6" w:rsidRDefault="00F06331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30321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30321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Pr="00E026E6" w:rsidRDefault="00F06331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30321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30321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Pr="00E026E6" w:rsidRDefault="00F06331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30321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30321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Pr="00E026E6" w:rsidRDefault="00F06331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40281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40281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Default="00F0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6890" w:rsidRDefault="00AB6890">
      <w:r>
        <w:separator/>
      </w:r>
    </w:p>
  </w:footnote>
  <w:footnote w:type="continuationSeparator" w:id="0">
    <w:p w:rsidR="00AB6890" w:rsidRDefault="00AB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Default="00F06331">
    <w:pPr>
      <w:pStyle w:val="ECV1stPage"/>
      <w:spacing w:before="329"/>
    </w:pPr>
    <w:r>
      <w:rPr>
        <w:noProof/>
        <w:lang w:val="ro-RO" w:eastAsia="ro-RO" w:bidi="ar-SA"/>
      </w:rPr>
      <w:drawing>
        <wp:anchor distT="0" distB="0" distL="0" distR="0" simplePos="0" relativeHeight="251658752" behindDoc="0" locked="0" layoutInCell="1" allowOverlap="1" wp14:anchorId="5E20FEED" wp14:editId="32E0BE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Default="00F06331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6704" behindDoc="0" locked="0" layoutInCell="1" allowOverlap="1" wp14:anchorId="72967CBC" wp14:editId="123C31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</w:r>
    <w:r w:rsidR="00220D88">
      <w:rPr>
        <w:szCs w:val="20"/>
      </w:rPr>
      <w:t xml:space="preserve">Badea </w:t>
    </w:r>
    <w:proofErr w:type="spellStart"/>
    <w:r w:rsidR="00220D88">
      <w:rPr>
        <w:szCs w:val="20"/>
      </w:rPr>
      <w:t>Ionuț</w:t>
    </w:r>
    <w:proofErr w:type="spellEnd"/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Default="00F06331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</w:t>
    </w:r>
    <w:proofErr w:type="spellStart"/>
    <w:r>
      <w:rPr>
        <w:szCs w:val="20"/>
      </w:rPr>
      <w:t>Scrieţi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numele</w:t>
    </w:r>
    <w:proofErr w:type="spellEnd"/>
    <w:r>
      <w:rPr>
        <w:szCs w:val="20"/>
      </w:rPr>
      <w:t xml:space="preserve"> şi </w:t>
    </w:r>
    <w:proofErr w:type="spellStart"/>
    <w:r>
      <w:rPr>
        <w:szCs w:val="20"/>
      </w:rPr>
      <w:t>prenumele</w:t>
    </w:r>
    <w:proofErr w:type="spellEnd"/>
    <w:r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331" w:rsidRDefault="00F06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3FA85E59"/>
    <w:multiLevelType w:val="hybridMultilevel"/>
    <w:tmpl w:val="F9C6E35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05B7E"/>
    <w:rsid w:val="00010D80"/>
    <w:rsid w:val="000112FF"/>
    <w:rsid w:val="00020831"/>
    <w:rsid w:val="00030AAF"/>
    <w:rsid w:val="00080417"/>
    <w:rsid w:val="0008146F"/>
    <w:rsid w:val="000843F6"/>
    <w:rsid w:val="000910CF"/>
    <w:rsid w:val="00097F1A"/>
    <w:rsid w:val="000F2F95"/>
    <w:rsid w:val="001408C5"/>
    <w:rsid w:val="001861CC"/>
    <w:rsid w:val="002163D3"/>
    <w:rsid w:val="00220D88"/>
    <w:rsid w:val="00255BE8"/>
    <w:rsid w:val="002564ED"/>
    <w:rsid w:val="00294CCA"/>
    <w:rsid w:val="002B5DA3"/>
    <w:rsid w:val="002C7F7E"/>
    <w:rsid w:val="003045D9"/>
    <w:rsid w:val="00391635"/>
    <w:rsid w:val="00394DF1"/>
    <w:rsid w:val="003C19E4"/>
    <w:rsid w:val="004022B6"/>
    <w:rsid w:val="004070B1"/>
    <w:rsid w:val="00407206"/>
    <w:rsid w:val="00443ABC"/>
    <w:rsid w:val="0046466E"/>
    <w:rsid w:val="00495E21"/>
    <w:rsid w:val="004C2B65"/>
    <w:rsid w:val="00540281"/>
    <w:rsid w:val="0056050C"/>
    <w:rsid w:val="00587646"/>
    <w:rsid w:val="005B27A0"/>
    <w:rsid w:val="005D3614"/>
    <w:rsid w:val="005E3904"/>
    <w:rsid w:val="0061387C"/>
    <w:rsid w:val="006221A2"/>
    <w:rsid w:val="00624F40"/>
    <w:rsid w:val="00632FC8"/>
    <w:rsid w:val="00665747"/>
    <w:rsid w:val="006B06D7"/>
    <w:rsid w:val="006B7413"/>
    <w:rsid w:val="006D4E21"/>
    <w:rsid w:val="006F38B4"/>
    <w:rsid w:val="00703443"/>
    <w:rsid w:val="007074A6"/>
    <w:rsid w:val="0072350F"/>
    <w:rsid w:val="00735ADB"/>
    <w:rsid w:val="007434F7"/>
    <w:rsid w:val="00771635"/>
    <w:rsid w:val="00772AEB"/>
    <w:rsid w:val="007F3589"/>
    <w:rsid w:val="00816234"/>
    <w:rsid w:val="008203ED"/>
    <w:rsid w:val="0088438F"/>
    <w:rsid w:val="008A678E"/>
    <w:rsid w:val="008E1AA3"/>
    <w:rsid w:val="009259F0"/>
    <w:rsid w:val="009267F1"/>
    <w:rsid w:val="00930321"/>
    <w:rsid w:val="00962E74"/>
    <w:rsid w:val="009710FA"/>
    <w:rsid w:val="00985A01"/>
    <w:rsid w:val="009A6B67"/>
    <w:rsid w:val="00A239DA"/>
    <w:rsid w:val="00A24B0D"/>
    <w:rsid w:val="00A63908"/>
    <w:rsid w:val="00A74B52"/>
    <w:rsid w:val="00AA4CE8"/>
    <w:rsid w:val="00AB6890"/>
    <w:rsid w:val="00AD04AE"/>
    <w:rsid w:val="00AD7887"/>
    <w:rsid w:val="00B01E28"/>
    <w:rsid w:val="00B63545"/>
    <w:rsid w:val="00B75E2D"/>
    <w:rsid w:val="00BD51B2"/>
    <w:rsid w:val="00BD662C"/>
    <w:rsid w:val="00BE2C01"/>
    <w:rsid w:val="00BE460A"/>
    <w:rsid w:val="00BF09F1"/>
    <w:rsid w:val="00C03505"/>
    <w:rsid w:val="00C47854"/>
    <w:rsid w:val="00C8172F"/>
    <w:rsid w:val="00C968F5"/>
    <w:rsid w:val="00D51549"/>
    <w:rsid w:val="00D63FF8"/>
    <w:rsid w:val="00D662B3"/>
    <w:rsid w:val="00D760F2"/>
    <w:rsid w:val="00D875B3"/>
    <w:rsid w:val="00DA330F"/>
    <w:rsid w:val="00DA760F"/>
    <w:rsid w:val="00DB7A47"/>
    <w:rsid w:val="00DC0FED"/>
    <w:rsid w:val="00E026E6"/>
    <w:rsid w:val="00E15713"/>
    <w:rsid w:val="00E21704"/>
    <w:rsid w:val="00E56CC7"/>
    <w:rsid w:val="00E66A3E"/>
    <w:rsid w:val="00E85B33"/>
    <w:rsid w:val="00EA4049"/>
    <w:rsid w:val="00EC61AE"/>
    <w:rsid w:val="00F06331"/>
    <w:rsid w:val="00F17EDC"/>
    <w:rsid w:val="00F346EC"/>
    <w:rsid w:val="00F57998"/>
    <w:rsid w:val="00F731BD"/>
    <w:rsid w:val="00F76CFD"/>
    <w:rsid w:val="00FC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0D828"/>
  <w15:docId w15:val="{47D0CB45-B319-40D1-BDCF-27927D7C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xtnBalon">
    <w:name w:val="Balloon Text"/>
    <w:basedOn w:val="Normal"/>
    <w:link w:val="TextnBalonCaracter"/>
    <w:uiPriority w:val="99"/>
    <w:semiHidden/>
    <w:unhideWhenUsed/>
    <w:rsid w:val="00C03505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3505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MeniuneNerezolvat">
    <w:name w:val="Unresolved Mention"/>
    <w:basedOn w:val="Fontdeparagrafimplicit"/>
    <w:uiPriority w:val="99"/>
    <w:semiHidden/>
    <w:unhideWhenUsed/>
    <w:rsid w:val="0098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yperlink" Target="mailto:ionutbd@gmail.com" TargetMode="External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otib@yahoo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patriarhia romana</cp:lastModifiedBy>
  <cp:revision>15</cp:revision>
  <cp:lastPrinted>2018-08-10T10:24:00Z</cp:lastPrinted>
  <dcterms:created xsi:type="dcterms:W3CDTF">2020-07-22T21:15:00Z</dcterms:created>
  <dcterms:modified xsi:type="dcterms:W3CDTF">2020-07-22T21:34:00Z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